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PROPOSAL FOR PERBADANAN USAHAWAN JOHOR SDN BHD (PUJB)</w:t>
      </w:r>
    </w:p>
    <w:p>
      <w:pPr>
        <w:jc w:val="center"/>
      </w:pPr>
      <w:r>
        <w:rPr>
          <w:b/>
          <w:color w:val="123A78"/>
          <w:sz w:val="60"/>
        </w:rPr>
        <w:t>PUJB × AINNA</w:t>
        <w:br/>
        <w:t>SME AI TRANSFORMATION PROGRAMME</w:t>
      </w:r>
    </w:p>
    <w:p>
      <w:pPr>
        <w:jc w:val="center"/>
      </w:pPr>
      <w:r>
        <w:rPr>
          <w:i/>
          <w:color w:val="D9252A"/>
          <w:sz w:val="30"/>
        </w:rPr>
        <w:t>From AI Capability to AI-Powered Business and an Intelligent Entrepreneur Ecosystem</w:t>
      </w:r>
    </w:p>
    <w:tbl>
      <w:tblPr>
        <w:tblW w:type="auto" w:w="0"/>
        <w:jc w:val="center"/>
        <w:tblLayout w:type="fixed"/>
        <w:tblLook w:firstColumn="1" w:firstRow="1" w:lastColumn="0" w:lastRow="0" w:noHBand="0" w:noVBand="1" w:val="04A0"/>
      </w:tblPr>
      <w:tblGrid>
        <w:gridCol w:w="3005"/>
        <w:gridCol w:w="3005"/>
        <w:gridCol w:w="3005"/>
      </w:tblGrid>
      <w:tr>
        <w:tc>
          <w:tcPr>
            <w:tcW w:type="dxa" w:w="3400"/>
            <w:shd w:fill="123A78"/>
            <w:tcMar>
              <w:top w:w="250" w:type="dxa"/>
              <w:start w:w="220" w:type="dxa"/>
              <w:bottom w:w="250" w:type="dxa"/>
              <w:end w:w="220" w:type="dxa"/>
            </w:tcMar>
            <w:vAlign w:val="center"/>
          </w:tcPr>
          <w:p>
            <w:pPr>
              <w:spacing w:after="40"/>
              <w:jc w:val="center"/>
            </w:pPr>
            <w:r>
              <w:rPr>
                <w:rFonts w:ascii="Aptos" w:hAnsi="Aptos"/>
                <w:b/>
                <w:color w:val="FFFFFF"/>
                <w:sz w:val="16"/>
              </w:rPr>
              <w:t>PACKAGE 01</w:t>
              <w:br/>
            </w:r>
            <w:r>
              <w:rPr>
                <w:rFonts w:ascii="Aptos" w:hAnsi="Aptos"/>
                <w:b/>
                <w:color w:val="FFFFFF"/>
                <w:sz w:val="26"/>
              </w:rPr>
              <w:t>SME AI Business Website</w:t>
            </w:r>
          </w:p>
        </w:tc>
        <w:tc>
          <w:tcPr>
            <w:tcW w:type="dxa" w:w="3400"/>
            <w:shd w:fill="D9252A"/>
            <w:tcMar>
              <w:top w:w="250" w:type="dxa"/>
              <w:start w:w="220" w:type="dxa"/>
              <w:bottom w:w="250" w:type="dxa"/>
              <w:end w:w="220" w:type="dxa"/>
            </w:tcMar>
            <w:vAlign w:val="center"/>
          </w:tcPr>
          <w:p>
            <w:pPr>
              <w:spacing w:after="40"/>
              <w:jc w:val="center"/>
            </w:pPr>
            <w:r>
              <w:rPr>
                <w:rFonts w:ascii="Aptos" w:hAnsi="Aptos"/>
                <w:b/>
                <w:color w:val="FFFFFF"/>
                <w:sz w:val="16"/>
              </w:rPr>
              <w:t>PACKAGE 02</w:t>
              <w:br/>
            </w:r>
            <w:r>
              <w:rPr>
                <w:rFonts w:ascii="Aptos" w:hAnsi="Aptos"/>
                <w:b/>
                <w:color w:val="FFFFFF"/>
                <w:sz w:val="26"/>
              </w:rPr>
              <w:t>SME AI Capability Training</w:t>
            </w:r>
          </w:p>
        </w:tc>
        <w:tc>
          <w:tcPr>
            <w:tcW w:type="dxa" w:w="3400"/>
            <w:shd w:fill="123A78"/>
            <w:tcMar>
              <w:top w:w="250" w:type="dxa"/>
              <w:start w:w="220" w:type="dxa"/>
              <w:bottom w:w="250" w:type="dxa"/>
              <w:end w:w="220" w:type="dxa"/>
            </w:tcMar>
            <w:vAlign w:val="center"/>
          </w:tcPr>
          <w:p>
            <w:pPr>
              <w:spacing w:after="40"/>
              <w:jc w:val="center"/>
            </w:pPr>
            <w:r>
              <w:rPr>
                <w:rFonts w:ascii="Aptos" w:hAnsi="Aptos"/>
                <w:b/>
                <w:color w:val="FFFFFF"/>
                <w:sz w:val="16"/>
              </w:rPr>
              <w:t>PACKAGE 03</w:t>
              <w:br/>
            </w:r>
            <w:r>
              <w:rPr>
                <w:rFonts w:ascii="Aptos" w:hAnsi="Aptos"/>
                <w:b/>
                <w:color w:val="FFFFFF"/>
                <w:sz w:val="26"/>
              </w:rPr>
              <w:t>PUJB Agentic AI System</w:t>
            </w:r>
          </w:p>
        </w:tc>
      </w:tr>
    </w:tbl>
    <w:p>
      <w:pPr>
        <w:pStyle w:val="Heading2"/>
        <w:jc w:val="center"/>
      </w:pPr>
      <w:r>
        <w:br/>
        <w:t>Proposed by Ainna Need Enterprise (AINNA)</w:t>
      </w:r>
    </w:p>
    <w:p>
      <w:pPr>
        <w:jc w:val="center"/>
      </w:pPr>
      <w:r>
        <w:t>Prepared as an integrated proposal for SME digitalisation, AI capability development and an Agentic AI intelligence layer that enhances PUJB’s existing PADU ecosystem.</w:t>
      </w:r>
    </w:p>
    <w:p>
      <w:pPr>
        <w:jc w:val="center"/>
      </w:pPr>
      <w:r>
        <w:t>27 September 2026</w:t>
      </w:r>
    </w:p>
    <w:p>
      <w:r>
        <w:br w:type="page"/>
      </w:r>
    </w:p>
    <w:p>
      <w:pPr>
        <w:pStyle w:val="Heading1"/>
      </w:pPr>
      <w:r>
        <w:t>1. Executive Summary</w:t>
      </w:r>
    </w:p>
    <w:p>
      <w:r>
        <w:t>AINNA proposes a three-package SME AI Transformation Programme for PUJB. The programme is designed as one connected ecosystem rather than three unrelated products: SMEs receive practical AI capability and an AI-ready digital business platform, while PUJB gains an Agentic AI and intelligence layer that can enhance the existing PADU ecosystem without replacing it.</w:t>
      </w:r>
    </w:p>
    <w:p>
      <w:pPr>
        <w:pStyle w:val="Quote"/>
        <w:jc w:val="center"/>
      </w:pPr>
      <w:r>
        <w:rPr>
          <w:b/>
          <w:color w:val="123A78"/>
          <w:sz w:val="32"/>
        </w:rPr>
        <w:t>“From AI Training to an AI-Powered Entrepreneur Ecosystem.”</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Package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Primary User</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Core Outcome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Positioning</w:t>
            </w:r>
          </w:p>
        </w:tc>
      </w:tr>
      <w:tr>
        <w:tc>
          <w:tcPr>
            <w:tcW w:type="dxa" w:w="2550"/>
            <w:tcMar>
              <w:top w:w="120" w:type="dxa"/>
              <w:start w:w="120" w:type="dxa"/>
              <w:bottom w:w="120" w:type="dxa"/>
              <w:end w:w="120" w:type="dxa"/>
            </w:tcMar>
            <w:vAlign w:val="center"/>
          </w:tcPr>
          <w:p>
            <w:pPr>
              <w:spacing w:after="40"/>
            </w:pPr>
            <w:r>
              <w:rPr>
                <w:rFonts w:ascii="Aptos" w:hAnsi="Aptos"/>
                <w:sz w:val="17"/>
              </w:rPr>
              <w:t>01</w:t>
            </w:r>
          </w:p>
        </w:tc>
        <w:tc>
          <w:tcPr>
            <w:tcW w:type="dxa" w:w="2550"/>
            <w:tcMar>
              <w:top w:w="120" w:type="dxa"/>
              <w:start w:w="120" w:type="dxa"/>
              <w:bottom w:w="120" w:type="dxa"/>
              <w:end w:w="120" w:type="dxa"/>
            </w:tcMar>
            <w:vAlign w:val="center"/>
          </w:tcPr>
          <w:p>
            <w:pPr>
              <w:spacing w:after="40"/>
            </w:pPr>
            <w:r>
              <w:rPr>
                <w:rFonts w:ascii="Aptos" w:hAnsi="Aptos"/>
                <w:sz w:val="17"/>
              </w:rPr>
              <w:t>SME</w:t>
            </w:r>
          </w:p>
        </w:tc>
        <w:tc>
          <w:tcPr>
            <w:tcW w:type="dxa" w:w="2550"/>
            <w:tcMar>
              <w:top w:w="120" w:type="dxa"/>
              <w:start w:w="120" w:type="dxa"/>
              <w:bottom w:w="120" w:type="dxa"/>
              <w:end w:w="120" w:type="dxa"/>
            </w:tcMar>
            <w:vAlign w:val="center"/>
          </w:tcPr>
          <w:p>
            <w:pPr>
              <w:spacing w:after="40"/>
            </w:pPr>
            <w:r>
              <w:rPr>
                <w:rFonts w:ascii="Aptos" w:hAnsi="Aptos"/>
                <w:sz w:val="17"/>
              </w:rPr>
              <w:t>Full AI-enabled business website</w:t>
            </w:r>
          </w:p>
        </w:tc>
        <w:tc>
          <w:tcPr>
            <w:tcW w:type="dxa" w:w="2550"/>
            <w:tcMar>
              <w:top w:w="120" w:type="dxa"/>
              <w:start w:w="120" w:type="dxa"/>
              <w:bottom w:w="120" w:type="dxa"/>
              <w:end w:w="120" w:type="dxa"/>
            </w:tcMar>
            <w:vAlign w:val="center"/>
          </w:tcPr>
          <w:p>
            <w:pPr>
              <w:spacing w:after="40"/>
            </w:pPr>
            <w:r>
              <w:rPr>
                <w:rFonts w:ascii="Aptos" w:hAnsi="Aptos"/>
                <w:sz w:val="17"/>
              </w:rPr>
              <w:t>Digital business infrastructure</w:t>
            </w:r>
          </w:p>
        </w:tc>
      </w:tr>
      <w:tr>
        <w:tc>
          <w:tcPr>
            <w:tcW w:type="dxa" w:w="2550"/>
            <w:tcMar>
              <w:top w:w="120" w:type="dxa"/>
              <w:start w:w="120" w:type="dxa"/>
              <w:bottom w:w="120" w:type="dxa"/>
              <w:end w:w="120" w:type="dxa"/>
            </w:tcMar>
            <w:shd w:fill="F3F6FA"/>
            <w:vAlign w:val="center"/>
          </w:tcPr>
          <w:p>
            <w:pPr>
              <w:spacing w:after="40"/>
            </w:pPr>
            <w:r>
              <w:rPr>
                <w:rFonts w:ascii="Aptos" w:hAnsi="Aptos"/>
                <w:sz w:val="17"/>
              </w:rPr>
              <w:t>02</w:t>
            </w:r>
          </w:p>
        </w:tc>
        <w:tc>
          <w:tcPr>
            <w:tcW w:type="dxa" w:w="2550"/>
            <w:tcMar>
              <w:top w:w="120" w:type="dxa"/>
              <w:start w:w="120" w:type="dxa"/>
              <w:bottom w:w="120" w:type="dxa"/>
              <w:end w:w="120" w:type="dxa"/>
            </w:tcMar>
            <w:shd w:fill="F3F6FA"/>
            <w:vAlign w:val="center"/>
          </w:tcPr>
          <w:p>
            <w:pPr>
              <w:spacing w:after="40"/>
            </w:pPr>
            <w:r>
              <w:rPr>
                <w:rFonts w:ascii="Aptos" w:hAnsi="Aptos"/>
                <w:sz w:val="17"/>
              </w:rPr>
              <w:t>SME</w:t>
            </w:r>
          </w:p>
        </w:tc>
        <w:tc>
          <w:tcPr>
            <w:tcW w:type="dxa" w:w="2550"/>
            <w:tcMar>
              <w:top w:w="120" w:type="dxa"/>
              <w:start w:w="120" w:type="dxa"/>
              <w:bottom w:w="120" w:type="dxa"/>
              <w:end w:w="120" w:type="dxa"/>
            </w:tcMar>
            <w:shd w:fill="F3F6FA"/>
            <w:vAlign w:val="center"/>
          </w:tcPr>
          <w:p>
            <w:pPr>
              <w:spacing w:after="40"/>
            </w:pPr>
            <w:r>
              <w:rPr>
                <w:rFonts w:ascii="Aptos" w:hAnsi="Aptos"/>
                <w:sz w:val="17"/>
              </w:rPr>
              <w:t>Practical AI capability + working workflows</w:t>
            </w:r>
          </w:p>
        </w:tc>
        <w:tc>
          <w:tcPr>
            <w:tcW w:type="dxa" w:w="2550"/>
            <w:tcMar>
              <w:top w:w="120" w:type="dxa"/>
              <w:start w:w="120" w:type="dxa"/>
              <w:bottom w:w="120" w:type="dxa"/>
              <w:end w:w="120" w:type="dxa"/>
            </w:tcMar>
            <w:shd w:fill="F3F6FA"/>
            <w:vAlign w:val="center"/>
          </w:tcPr>
          <w:p>
            <w:pPr>
              <w:spacing w:after="40"/>
            </w:pPr>
            <w:r>
              <w:rPr>
                <w:rFonts w:ascii="Aptos" w:hAnsi="Aptos"/>
                <w:sz w:val="17"/>
              </w:rPr>
              <w:t>Capability and productivity</w:t>
            </w:r>
          </w:p>
        </w:tc>
      </w:tr>
      <w:tr>
        <w:tc>
          <w:tcPr>
            <w:tcW w:type="dxa" w:w="2550"/>
            <w:tcMar>
              <w:top w:w="120" w:type="dxa"/>
              <w:start w:w="120" w:type="dxa"/>
              <w:bottom w:w="120" w:type="dxa"/>
              <w:end w:w="120" w:type="dxa"/>
            </w:tcMar>
            <w:vAlign w:val="center"/>
          </w:tcPr>
          <w:p>
            <w:pPr>
              <w:spacing w:after="40"/>
            </w:pPr>
            <w:r>
              <w:rPr>
                <w:rFonts w:ascii="Aptos" w:hAnsi="Aptos"/>
                <w:sz w:val="17"/>
              </w:rPr>
              <w:t>03</w:t>
            </w:r>
          </w:p>
        </w:tc>
        <w:tc>
          <w:tcPr>
            <w:tcW w:type="dxa" w:w="2550"/>
            <w:tcMar>
              <w:top w:w="120" w:type="dxa"/>
              <w:start w:w="120" w:type="dxa"/>
              <w:bottom w:w="120" w:type="dxa"/>
              <w:end w:w="120" w:type="dxa"/>
            </w:tcMar>
            <w:vAlign w:val="center"/>
          </w:tcPr>
          <w:p>
            <w:pPr>
              <w:spacing w:after="40"/>
            </w:pPr>
            <w:r>
              <w:rPr>
                <w:rFonts w:ascii="Aptos" w:hAnsi="Aptos"/>
                <w:sz w:val="17"/>
              </w:rPr>
              <w:t>PUJB</w:t>
            </w:r>
          </w:p>
        </w:tc>
        <w:tc>
          <w:tcPr>
            <w:tcW w:type="dxa" w:w="2550"/>
            <w:tcMar>
              <w:top w:w="120" w:type="dxa"/>
              <w:start w:w="120" w:type="dxa"/>
              <w:bottom w:w="120" w:type="dxa"/>
              <w:end w:w="120" w:type="dxa"/>
            </w:tcMar>
            <w:vAlign w:val="center"/>
          </w:tcPr>
          <w:p>
            <w:pPr>
              <w:spacing w:after="40"/>
            </w:pPr>
            <w:r>
              <w:rPr>
                <w:rFonts w:ascii="Aptos" w:hAnsi="Aptos"/>
                <w:sz w:val="17"/>
              </w:rPr>
              <w:t>Agentic AI, automation and management intelligence</w:t>
            </w:r>
          </w:p>
        </w:tc>
        <w:tc>
          <w:tcPr>
            <w:tcW w:type="dxa" w:w="2550"/>
            <w:tcMar>
              <w:top w:w="120" w:type="dxa"/>
              <w:start w:w="120" w:type="dxa"/>
              <w:bottom w:w="120" w:type="dxa"/>
              <w:end w:w="120" w:type="dxa"/>
            </w:tcMar>
            <w:vAlign w:val="center"/>
          </w:tcPr>
          <w:p>
            <w:pPr>
              <w:spacing w:after="40"/>
            </w:pPr>
            <w:r>
              <w:rPr>
                <w:rFonts w:ascii="Aptos" w:hAnsi="Aptos"/>
                <w:sz w:val="17"/>
              </w:rPr>
              <w:t>Enhance PADU, not replace it</w:t>
            </w:r>
          </w:p>
        </w:tc>
      </w:tr>
    </w:tbl>
    <w:p>
      <w:pPr>
        <w:pStyle w:val="Heading2"/>
      </w:pPr>
      <w:r>
        <w:t>Programme Principle</w:t>
      </w:r>
    </w:p>
    <w:p>
      <w:r>
        <w:t>The proposal separates the roles clearly: PADU remains PUJB’s existing account/transaction platform and authoritative system of record; AINNA NeuralOps is positioned as a controlled intelligence, automation and Agentic AI layer around that ecosystem. AI assists users and officers, but official decisions remain human-controlled.</w:t>
      </w:r>
    </w:p>
    <w:p>
      <w:pPr>
        <w:pStyle w:val="Heading2"/>
      </w:pPr>
      <w:r>
        <w:t>Strategic Result</w:t>
      </w:r>
    </w:p>
    <w:p>
      <w:pPr>
        <w:pStyle w:val="ListBullet"/>
      </w:pPr>
      <w:r>
        <w:t>SMEs gain a modern, AI-ready digital presence instead of a static company profile.</w:t>
      </w:r>
    </w:p>
    <w:p>
      <w:pPr>
        <w:pStyle w:val="ListBullet"/>
      </w:pPr>
      <w:r>
        <w:t>SME owners and staff learn to use AI in real operations and leave training with working outputs.</w:t>
      </w:r>
    </w:p>
    <w:p>
      <w:pPr>
        <w:pStyle w:val="ListBullet"/>
      </w:pPr>
      <w:r>
        <w:t>PUJB gains better visibility across programmes, entrepreneur profiles, documents, follow-ups and outcomes.</w:t>
      </w:r>
    </w:p>
    <w:p>
      <w:pPr>
        <w:pStyle w:val="ListBullet"/>
      </w:pPr>
      <w:r>
        <w:t>The three layers can later be connected into a measurable state-level entrepreneur development ecosystem.</w:t>
      </w:r>
    </w:p>
    <w:p>
      <w:pPr>
        <w:pStyle w:val="Heading1"/>
      </w:pPr>
      <w:r>
        <w:t>2. Strategic Rationale</w:t>
      </w:r>
    </w:p>
    <w:p>
      <w:r>
        <w:t>PUJB is positioned as a one-stop entrepreneur reference centre and supports entrepreneur development programmes, PADU registration, entrepreneur promotion, premises and ecosystem coordination. The next opportunity is not simply to add another portal, but to connect capability development, SME digital infrastructure and management intelligence into one operating model.</w:t>
      </w:r>
    </w:p>
    <w:p>
      <w:pPr>
        <w:pStyle w:val="Heading2"/>
      </w:pPr>
      <w:r>
        <w:t>Current Gap the Programme Addresses</w:t>
      </w:r>
    </w:p>
    <w:p>
      <w:r>
        <w:rPr>
          <w:b/>
          <w:color w:val="D9252A"/>
        </w:rPr>
        <w:t xml:space="preserve">Digital presence gap: </w:t>
      </w:r>
      <w:r>
        <w:t>Many SMEs still operate with fragmented social media, marketplaces and messaging channels without a structured digital business asset they control.</w:t>
      </w:r>
    </w:p>
    <w:p>
      <w:r>
        <w:rPr>
          <w:b/>
          <w:color w:val="D9252A"/>
        </w:rPr>
        <w:t xml:space="preserve">AI capability gap: </w:t>
      </w:r>
      <w:r>
        <w:t>SMEs may know AI tools exist but often lack repeatable workflows for marketing, sales, finance, documentation and operations.</w:t>
      </w:r>
    </w:p>
    <w:p>
      <w:r>
        <w:rPr>
          <w:b/>
          <w:color w:val="D9252A"/>
        </w:rPr>
        <w:t xml:space="preserve">Outcome visibility gap: </w:t>
      </w:r>
      <w:r>
        <w:t>Programme participation and assistance are more valuable when progress, follow-up and business outcomes can be observed beyond approval or attendance.</w:t>
      </w:r>
    </w:p>
    <w:p>
      <w:r>
        <w:rPr>
          <w:b/>
          <w:color w:val="D9252A"/>
        </w:rPr>
        <w:t xml:space="preserve">Data-to-action gap: </w:t>
      </w:r>
      <w:r>
        <w:t>Existing system data becomes more useful when it can be summarised, searched, monitored and converted into officer or management action.</w:t>
      </w:r>
    </w:p>
    <w:p>
      <w:pPr>
        <w:pStyle w:val="Heading1"/>
      </w:pPr>
      <w:r>
        <w:t>3. Integrated Programme Model</w:t>
      </w:r>
    </w:p>
    <w:p>
      <w:pPr>
        <w:jc w:val="center"/>
      </w:pPr>
      <w:r>
        <w:rPr>
          <w:b/>
          <w:color w:val="123A78"/>
          <w:sz w:val="34"/>
        </w:rPr>
        <w:t>SME CAPABILITY  →  SME TECHNOLOGY  →  PUJB INTELLIGENCE</w:t>
      </w:r>
    </w:p>
    <w:p>
      <w:r>
        <w:t>The model creates value at three levels:</w:t>
      </w:r>
    </w:p>
    <w:p>
      <w:pPr>
        <w:pStyle w:val="ListBullet"/>
      </w:pPr>
      <w:r>
        <w:t>Individual SME: stronger digital presence, better use of AI, faster daily operations.</w:t>
      </w:r>
    </w:p>
    <w:p>
      <w:pPr>
        <w:pStyle w:val="ListBullet"/>
      </w:pPr>
      <w:r>
        <w:t>Business operations: structured data, automation, reporting and clearer digital workflows.</w:t>
      </w:r>
    </w:p>
    <w:p>
      <w:pPr>
        <w:pStyle w:val="ListBullet"/>
      </w:pPr>
      <w:r>
        <w:t>PUJB ecosystem: programme intelligence, monitoring, cross-programme visibility and management reporting.</w:t>
      </w:r>
    </w:p>
    <w:p>
      <w:r>
        <w:br w:type="page"/>
      </w:r>
    </w:p>
    <w:p>
      <w:pPr>
        <w:pStyle w:val="Heading1"/>
      </w:pPr>
      <w:r>
        <w:t>4. Package 01 — SME AI Business Website</w:t>
      </w:r>
    </w:p>
    <w:p>
      <w:r>
        <w:t>Objective: provide participating SMEs with a modern, mobile-first digital business platform that is ready for AI, automation and future system integration. The deliverable is intentionally broader than a conventional company-profile website.</w:t>
      </w:r>
    </w:p>
    <w:p>
      <w:pPr>
        <w:pStyle w:val="Heading2"/>
      </w:pPr>
      <w:r>
        <w:t>Core Deliverables</w:t>
      </w:r>
    </w:p>
    <w:p>
      <w:pPr>
        <w:pStyle w:val="ListBullet"/>
      </w:pPr>
      <w:r>
        <w:t>Corporate profile, products/services, contact and lead-capture pages</w:t>
      </w:r>
    </w:p>
    <w:p>
      <w:pPr>
        <w:pStyle w:val="ListBullet"/>
      </w:pPr>
      <w:r>
        <w:t>Mobile-responsive UX and basic accessibility structure</w:t>
      </w:r>
    </w:p>
    <w:p>
      <w:pPr>
        <w:pStyle w:val="ListBullet"/>
      </w:pPr>
      <w:r>
        <w:t>Product/service catalogue with structured information architecture</w:t>
      </w:r>
    </w:p>
    <w:p>
      <w:pPr>
        <w:pStyle w:val="ListBullet"/>
      </w:pPr>
      <w:r>
        <w:t>WhatsApp and enquiry integration</w:t>
      </w:r>
    </w:p>
    <w:p>
      <w:pPr>
        <w:pStyle w:val="ListBullet"/>
      </w:pPr>
      <w:r>
        <w:t>AI FAQ / customer-assistance interface using approved business content</w:t>
      </w:r>
    </w:p>
    <w:p>
      <w:pPr>
        <w:pStyle w:val="ListBullet"/>
      </w:pPr>
      <w:r>
        <w:t>Lead capture and simple enquiry dashboard</w:t>
      </w:r>
    </w:p>
    <w:p>
      <w:pPr>
        <w:pStyle w:val="ListBullet"/>
      </w:pPr>
      <w:r>
        <w:t>Basic SEO technical foundation and metadata</w:t>
      </w:r>
    </w:p>
    <w:p>
      <w:pPr>
        <w:pStyle w:val="ListBullet"/>
      </w:pPr>
      <w:r>
        <w:t>GEO / AI-search readiness through structured content and entity clarity</w:t>
      </w:r>
    </w:p>
    <w:p>
      <w:pPr>
        <w:pStyle w:val="ListBullet"/>
      </w:pPr>
      <w:r>
        <w:t>Analytics integration and simple management dashboard</w:t>
      </w:r>
    </w:p>
    <w:p>
      <w:pPr>
        <w:pStyle w:val="ListBullet"/>
      </w:pPr>
      <w:r>
        <w:t>Domain and SSL integration</w:t>
      </w:r>
    </w:p>
    <w:p>
      <w:pPr>
        <w:pStyle w:val="ListBullet"/>
      </w:pPr>
      <w:r>
        <w:t>API-ready architecture for later CRM, inventory, marketplace, payment, logistics or finance modules</w:t>
      </w:r>
    </w:p>
    <w:p>
      <w:pPr>
        <w:pStyle w:val="ListBullet"/>
      </w:pPr>
      <w:r>
        <w:t>Basic content-management handover and administrator guide</w:t>
      </w:r>
    </w:p>
    <w:p>
      <w:pPr>
        <w:pStyle w:val="Heading2"/>
      </w:pPr>
      <w:r>
        <w:t>Recommended AI Workflow</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Visitor</w:t>
            </w:r>
          </w:p>
        </w:tc>
        <w:tc>
          <w:tcPr>
            <w:tcW w:type="dxa" w:w="2040"/>
            <w:shd w:fill="D9252A"/>
            <w:tcMar>
              <w:top w:w="120" w:type="dxa"/>
              <w:start w:w="120" w:type="dxa"/>
              <w:bottom w:w="120" w:type="dxa"/>
              <w:end w:w="120" w:type="dxa"/>
            </w:tcMar>
            <w:vAlign w:val="center"/>
          </w:tcPr>
          <w:p>
            <w:pPr>
              <w:spacing w:after="40"/>
            </w:pPr>
            <w:r>
              <w:rPr>
                <w:rFonts w:ascii="Aptos" w:hAnsi="Aptos"/>
                <w:b/>
                <w:color w:val="FFFFFF"/>
                <w:sz w:val="17"/>
              </w:rPr>
              <w:t>AI Website</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Qualification</w:t>
            </w:r>
          </w:p>
        </w:tc>
        <w:tc>
          <w:tcPr>
            <w:tcW w:type="dxa" w:w="2040"/>
            <w:shd w:fill="D9252A"/>
            <w:tcMar>
              <w:top w:w="120" w:type="dxa"/>
              <w:start w:w="120" w:type="dxa"/>
              <w:bottom w:w="120" w:type="dxa"/>
              <w:end w:w="120" w:type="dxa"/>
            </w:tcMar>
            <w:vAlign w:val="center"/>
          </w:tcPr>
          <w:p>
            <w:pPr>
              <w:spacing w:after="40"/>
            </w:pPr>
            <w:r>
              <w:rPr>
                <w:rFonts w:ascii="Aptos" w:hAnsi="Aptos"/>
                <w:b/>
                <w:color w:val="FFFFFF"/>
                <w:sz w:val="17"/>
              </w:rPr>
              <w:t>SME Dashboard</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Follow-up</w:t>
            </w:r>
          </w:p>
        </w:tc>
      </w:tr>
    </w:tbl>
    <w:p>
      <w:r>
        <w:t>Example: a customer asks whether delivery is available to Batu Pahat. The website assistant answers from approved SME content, collects the enquiry if needed, and passes structured lead information into the SME dashboard. The SME remains in control of pricing, commitments and final communication.</w:t>
      </w:r>
    </w:p>
    <w:p>
      <w:pPr>
        <w:pStyle w:val="Heading2"/>
      </w:pPr>
      <w:r>
        <w:t>Optional Expansion Modules</w:t>
      </w:r>
    </w:p>
    <w:p>
      <w:pPr>
        <w:pStyle w:val="ListBullet"/>
      </w:pPr>
      <w:r>
        <w:t>Payment gateway</w:t>
      </w:r>
    </w:p>
    <w:p>
      <w:pPr>
        <w:pStyle w:val="ListBullet"/>
      </w:pPr>
      <w:r>
        <w:t>Delivery / EasyParcel-style integration</w:t>
      </w:r>
    </w:p>
    <w:p>
      <w:pPr>
        <w:pStyle w:val="ListBullet"/>
      </w:pPr>
      <w:r>
        <w:t>Marketplace integration</w:t>
      </w:r>
    </w:p>
    <w:p>
      <w:pPr>
        <w:pStyle w:val="ListBullet"/>
      </w:pPr>
      <w:r>
        <w:t>Inventory / stock</w:t>
      </w:r>
    </w:p>
    <w:p>
      <w:pPr>
        <w:pStyle w:val="ListBullet"/>
      </w:pPr>
      <w:r>
        <w:t>CRM</w:t>
      </w:r>
    </w:p>
    <w:p>
      <w:pPr>
        <w:pStyle w:val="ListBullet"/>
      </w:pPr>
      <w:r>
        <w:t>Finance dashboard</w:t>
      </w:r>
    </w:p>
    <w:p>
      <w:pPr>
        <w:pStyle w:val="ListBullet"/>
      </w:pPr>
      <w:r>
        <w:t>HR module</w:t>
      </w:r>
    </w:p>
    <w:p>
      <w:pPr>
        <w:pStyle w:val="ListBullet"/>
      </w:pPr>
      <w:r>
        <w:t>Advanced Agentic AI workflows</w:t>
      </w:r>
    </w:p>
    <w:p>
      <w:pPr>
        <w:pStyle w:val="Heading2"/>
      </w:pPr>
      <w:r>
        <w:t>Outcome for SME</w:t>
      </w:r>
    </w:p>
    <w:p>
      <w:r>
        <w:t>Each participating SME should leave with an owned digital asset that can continue evolving after the programme. The website becomes a base layer for future automation rather than a one-off marketing page.</w:t>
      </w:r>
    </w:p>
    <w:p>
      <w:r>
        <w:br w:type="page"/>
      </w:r>
    </w:p>
    <w:p>
      <w:pPr>
        <w:pStyle w:val="Heading1"/>
      </w:pPr>
      <w:r>
        <w:t>5. Package 02 — SME AI Capability Training</w:t>
      </w:r>
    </w:p>
    <w:p>
      <w:r>
        <w:t>Objective: move SMEs from casual AI usage to repeatable, practical business workflows. Training is output-based: participants should produce usable assets, workflows and operating practices rather than only attend theory sessions.</w:t>
      </w:r>
    </w:p>
    <w:p>
      <w:pPr>
        <w:pStyle w:val="Heading2"/>
      </w:pPr>
      <w:r>
        <w:t>Training Philosophy</w:t>
      </w:r>
    </w:p>
    <w:p>
      <w:pPr>
        <w:jc w:val="center"/>
      </w:pPr>
      <w:r>
        <w:rPr>
          <w:b/>
          <w:color w:val="D9252A"/>
          <w:sz w:val="32"/>
        </w:rPr>
        <w:t>LEARN  →  BUILD  →  DEPLOY  →  OPERATE  →  IMPROVE</w:t>
      </w:r>
    </w:p>
    <w:p>
      <w:pPr>
        <w:pStyle w:val="Heading2"/>
      </w:pPr>
      <w:r>
        <w:t>Recommended Modules</w:t>
      </w:r>
    </w:p>
    <w:p>
      <w:r>
        <w:rPr>
          <w:b/>
          <w:color w:val="123A78"/>
        </w:rPr>
        <w:t>Module 1 — AI Foundation for Business</w:t>
      </w:r>
      <w:r>
        <w:br/>
        <w:t>How LLMs work, prompt design, model selection, verification, privacy, safe use and cost awareness.</w:t>
      </w:r>
    </w:p>
    <w:p>
      <w:r>
        <w:rPr>
          <w:b/>
          <w:color w:val="123A78"/>
        </w:rPr>
        <w:t>Module 2 — AI for Daily Operations</w:t>
      </w:r>
      <w:r>
        <w:br/>
        <w:t>Email, proposal, quotation, SOP, reports, customer response, research and repetitive administrative work.</w:t>
      </w:r>
    </w:p>
    <w:p>
      <w:r>
        <w:rPr>
          <w:b/>
          <w:color w:val="123A78"/>
        </w:rPr>
        <w:t>Module 3 — AI Content &amp; Marketing</w:t>
      </w:r>
      <w:r>
        <w:br/>
        <w:t>Copywriting, social content, images, video concepts, campaign planning, SEO and GEO.</w:t>
      </w:r>
    </w:p>
    <w:p>
      <w:r>
        <w:rPr>
          <w:b/>
          <w:color w:val="123A78"/>
        </w:rPr>
        <w:t>Module 4 — AI Business Analytics</w:t>
      </w:r>
      <w:r>
        <w:br/>
        <w:t>Spreadsheet analysis, sales trends, customer data, stock observations and management reporting.</w:t>
      </w:r>
    </w:p>
    <w:p>
      <w:r>
        <w:rPr>
          <w:b/>
          <w:color w:val="123A78"/>
        </w:rPr>
        <w:t>Module 5 — Build Your Own AI Tools</w:t>
      </w:r>
      <w:r>
        <w:br/>
        <w:t>Simple dashboard, forms, calculators, internal utilities and website components.</w:t>
      </w:r>
    </w:p>
    <w:p>
      <w:r>
        <w:rPr>
          <w:b/>
          <w:color w:val="123A78"/>
        </w:rPr>
        <w:t>Module 6 — Agentic AI Introduction</w:t>
      </w:r>
      <w:r>
        <w:br/>
        <w:t>Move from asking AI questions to giving AI bounded business tasks with human approval points.</w:t>
      </w:r>
    </w:p>
    <w:p>
      <w:pPr>
        <w:pStyle w:val="Heading2"/>
      </w:pPr>
      <w:r>
        <w:t>Participant Outputs</w:t>
      </w:r>
    </w:p>
    <w:p>
      <w:pPr>
        <w:pStyle w:val="ListBullet"/>
      </w:pPr>
      <w:r>
        <w:t>AI workflow for at least one real business process</w:t>
      </w:r>
    </w:p>
    <w:p>
      <w:pPr>
        <w:pStyle w:val="ListBullet"/>
      </w:pPr>
      <w:r>
        <w:t>Website/dashboard or digital prototype</w:t>
      </w:r>
    </w:p>
    <w:p>
      <w:pPr>
        <w:pStyle w:val="ListBullet"/>
      </w:pPr>
      <w:r>
        <w:t>Content-production workflow</w:t>
      </w:r>
    </w:p>
    <w:p>
      <w:pPr>
        <w:pStyle w:val="ListBullet"/>
      </w:pPr>
      <w:r>
        <w:t>Prompt and instruction library</w:t>
      </w:r>
    </w:p>
    <w:p>
      <w:pPr>
        <w:pStyle w:val="ListBullet"/>
      </w:pPr>
      <w:r>
        <w:t>Simple analytics/reporting workflow</w:t>
      </w:r>
    </w:p>
    <w:p>
      <w:pPr>
        <w:pStyle w:val="ListBullet"/>
      </w:pPr>
      <w:r>
        <w:t>AI-use guideline for the business</w:t>
      </w:r>
    </w:p>
    <w:p>
      <w:pPr>
        <w:pStyle w:val="ListBullet"/>
      </w:pPr>
      <w:r>
        <w:t>90-day implementation action plan</w:t>
      </w:r>
    </w:p>
    <w:p>
      <w:pPr>
        <w:pStyle w:val="Heading2"/>
      </w:pPr>
      <w:r>
        <w:t>Example Agentic Workflow</w:t>
      </w:r>
    </w:p>
    <w:p>
      <w:r>
        <w:t>Read order → check available business data → identify issue → prepare recommended response → request human approval → record action. This demonstrates Agentic AI without removing business-owner control.</w:t>
      </w:r>
    </w:p>
    <w:p>
      <w:pPr>
        <w:pStyle w:val="Heading2"/>
      </w:pPr>
      <w:r>
        <w:t>Delivery Format</w:t>
      </w:r>
    </w:p>
    <w:p>
      <w:r>
        <w:t>The programme can be delivered as a cohort-based workshop, intensive bootcamp or staged programme. Final duration, participant count, venue, devices, internet access, domain requirements and trainer-to-participant ratio should be confirmed with PUJB before commercial finalisation.</w:t>
      </w:r>
    </w:p>
    <w:p>
      <w:r>
        <w:br w:type="page"/>
      </w:r>
    </w:p>
    <w:p>
      <w:pPr>
        <w:pStyle w:val="Heading1"/>
      </w:pPr>
      <w:r>
        <w:t>6. Package 03 — PUJB Agentic AI System</w:t>
      </w:r>
    </w:p>
    <w:p>
      <w:r>
        <w:t>Proposed system name: PUJB NeuralOps — Agentic AI &amp; Intelligence Layer for the Existing PADU Ecosystem.</w:t>
      </w:r>
    </w:p>
    <w:p>
      <w:pPr>
        <w:pStyle w:val="Heading2"/>
      </w:pPr>
      <w:r>
        <w:t>Non-Replacement Principle</w:t>
      </w:r>
    </w:p>
    <w:tbl>
      <w:tblPr>
        <w:tblStyle w:val="TableGrid"/>
        <w:tblW w:type="auto" w:w="0"/>
        <w:tblLook w:firstColumn="1" w:firstRow="1" w:lastColumn="0" w:lastRow="0" w:noHBand="0" w:noVBand="1" w:val="04A0"/>
      </w:tblPr>
      <w:tblGrid>
        <w:gridCol w:w="10200"/>
      </w:tblGrid>
      <w:tr>
        <w:tc>
          <w:tcPr>
            <w:tcW w:type="dxa" w:w="10200"/>
            <w:shd w:fill="F3F6FA"/>
            <w:tcMar>
              <w:top w:w="250" w:type="dxa"/>
              <w:start w:w="250" w:type="dxa"/>
              <w:bottom w:w="250" w:type="dxa"/>
              <w:end w:w="250" w:type="dxa"/>
            </w:tcMar>
            <w:vAlign w:val="center"/>
          </w:tcPr>
          <w:p>
            <w:pPr>
              <w:spacing w:after="40"/>
            </w:pPr>
            <w:r>
              <w:rPr>
                <w:rFonts w:ascii="Aptos" w:hAnsi="Aptos"/>
                <w:b/>
                <w:color w:val="123A78"/>
                <w:sz w:val="17"/>
              </w:rPr>
              <w:t>PADU remains the existing PUJB core platform / system of record. AINNA NeuralOps is proposed as an integration, intelligence, automation and assistance layer. No replacement of PADU is assumed.</w:t>
            </w:r>
          </w:p>
        </w:tc>
      </w:tr>
    </w:tbl>
    <w:p>
      <w:pPr>
        <w:pStyle w:val="Heading2"/>
      </w:pPr>
      <w:r>
        <w:t>Target Architecture</w:t>
      </w:r>
    </w:p>
    <w:tbl>
      <w:tblPr>
        <w:tblStyle w:val="TableGrid"/>
        <w:tblW w:type="auto" w:w="0"/>
        <w:jc w:val="center"/>
        <w:tblLook w:firstColumn="1" w:firstRow="1" w:lastColumn="0" w:lastRow="0" w:noHBand="0" w:noVBand="1" w:val="04A0"/>
      </w:tblPr>
      <w:tblGrid>
        <w:gridCol w:w="10200"/>
      </w:tblGrid>
      <w:tr>
        <w:tc>
          <w:tcPr>
            <w:tcW w:type="dxa" w:w="10200"/>
            <w:shd w:fill="123A78"/>
            <w:tcMar>
              <w:top w:w="180" w:type="dxa"/>
              <w:start w:w="220" w:type="dxa"/>
              <w:bottom w:w="180" w:type="dxa"/>
              <w:end w:w="220" w:type="dxa"/>
            </w:tcMar>
            <w:vAlign w:val="center"/>
          </w:tcPr>
          <w:p>
            <w:pPr>
              <w:spacing w:after="40"/>
              <w:jc w:val="center"/>
            </w:pPr>
            <w:r>
              <w:rPr>
                <w:rFonts w:ascii="Aptos" w:hAnsi="Aptos"/>
                <w:b/>
                <w:color w:val="FFFFFF"/>
                <w:sz w:val="24"/>
              </w:rPr>
              <w:t>PUJB PADU</w:t>
              <w:br/>
            </w:r>
            <w:r>
              <w:rPr>
                <w:rFonts w:ascii="Aptos" w:hAnsi="Aptos"/>
                <w:color w:val="FFFFFF"/>
                <w:sz w:val="18"/>
              </w:rPr>
              <w:t>Existing account / transaction platform and authoritative record</w:t>
            </w:r>
          </w:p>
        </w:tc>
      </w:tr>
      <w:tr>
        <w:tc>
          <w:tcPr>
            <w:tcW w:type="dxa" w:w="10200"/>
            <w:shd w:fill="F3F6FA"/>
            <w:tcMar>
              <w:top w:w="180" w:type="dxa"/>
              <w:start w:w="220" w:type="dxa"/>
              <w:bottom w:w="180" w:type="dxa"/>
              <w:end w:w="220" w:type="dxa"/>
            </w:tcMar>
            <w:vAlign w:val="center"/>
          </w:tcPr>
          <w:p>
            <w:pPr>
              <w:spacing w:after="40"/>
              <w:jc w:val="center"/>
            </w:pPr>
            <w:r>
              <w:rPr>
                <w:rFonts w:ascii="Aptos" w:hAnsi="Aptos"/>
                <w:b/>
                <w:color w:val="122033"/>
                <w:sz w:val="24"/>
              </w:rPr>
              <w:t>Secure Integration Layer</w:t>
              <w:br/>
            </w:r>
            <w:r>
              <w:rPr>
                <w:rFonts w:ascii="Aptos" w:hAnsi="Aptos"/>
                <w:color w:val="122033"/>
                <w:sz w:val="18"/>
              </w:rPr>
              <w:t>API, service adapter or controlled data exchange</w:t>
            </w:r>
          </w:p>
        </w:tc>
      </w:tr>
      <w:tr>
        <w:tc>
          <w:tcPr>
            <w:tcW w:type="dxa" w:w="10200"/>
            <w:shd w:fill="123A78"/>
            <w:tcMar>
              <w:top w:w="180" w:type="dxa"/>
              <w:start w:w="220" w:type="dxa"/>
              <w:bottom w:w="180" w:type="dxa"/>
              <w:end w:w="220" w:type="dxa"/>
            </w:tcMar>
            <w:vAlign w:val="center"/>
          </w:tcPr>
          <w:p>
            <w:pPr>
              <w:spacing w:after="40"/>
              <w:jc w:val="center"/>
            </w:pPr>
            <w:r>
              <w:rPr>
                <w:rFonts w:ascii="Aptos" w:hAnsi="Aptos"/>
                <w:b/>
                <w:color w:val="FFFFFF"/>
                <w:sz w:val="24"/>
              </w:rPr>
              <w:t>AINNA NeuralOps</w:t>
              <w:br/>
            </w:r>
            <w:r>
              <w:rPr>
                <w:rFonts w:ascii="Aptos" w:hAnsi="Aptos"/>
                <w:color w:val="FFFFFF"/>
                <w:sz w:val="18"/>
              </w:rPr>
              <w:t>Agentic AI, analytics, automation, workflow intelligence</w:t>
            </w:r>
          </w:p>
        </w:tc>
      </w:tr>
      <w:tr>
        <w:tc>
          <w:tcPr>
            <w:tcW w:type="dxa" w:w="10200"/>
            <w:shd w:fill="F3F6FA"/>
            <w:tcMar>
              <w:top w:w="180" w:type="dxa"/>
              <w:start w:w="220" w:type="dxa"/>
              <w:bottom w:w="180" w:type="dxa"/>
              <w:end w:w="220" w:type="dxa"/>
            </w:tcMar>
            <w:vAlign w:val="center"/>
          </w:tcPr>
          <w:p>
            <w:pPr>
              <w:spacing w:after="40"/>
              <w:jc w:val="center"/>
            </w:pPr>
            <w:r>
              <w:rPr>
                <w:rFonts w:ascii="Aptos" w:hAnsi="Aptos"/>
                <w:b/>
                <w:color w:val="122033"/>
                <w:sz w:val="24"/>
              </w:rPr>
              <w:t>User Workspaces</w:t>
              <w:br/>
            </w:r>
            <w:r>
              <w:rPr>
                <w:rFonts w:ascii="Aptos" w:hAnsi="Aptos"/>
                <w:color w:val="122033"/>
                <w:sz w:val="18"/>
              </w:rPr>
              <w:t>Entrepreneur • Officer • Management</w:t>
            </w:r>
          </w:p>
        </w:tc>
      </w:tr>
      <w:tr>
        <w:tc>
          <w:tcPr>
            <w:tcW w:type="dxa" w:w="10200"/>
            <w:shd w:fill="D9252A"/>
            <w:tcMar>
              <w:top w:w="180" w:type="dxa"/>
              <w:start w:w="220" w:type="dxa"/>
              <w:bottom w:w="180" w:type="dxa"/>
              <w:end w:w="220" w:type="dxa"/>
            </w:tcMar>
            <w:vAlign w:val="center"/>
          </w:tcPr>
          <w:p>
            <w:pPr>
              <w:spacing w:after="40"/>
              <w:jc w:val="center"/>
            </w:pPr>
            <w:r>
              <w:rPr>
                <w:rFonts w:ascii="Aptos" w:hAnsi="Aptos"/>
                <w:b/>
                <w:color w:val="FFFFFF"/>
                <w:sz w:val="24"/>
              </w:rPr>
              <w:t>Human-Controlled Action</w:t>
              <w:br/>
            </w:r>
            <w:r>
              <w:rPr>
                <w:rFonts w:ascii="Aptos" w:hAnsi="Aptos"/>
                <w:color w:val="FFFFFF"/>
                <w:sz w:val="18"/>
              </w:rPr>
              <w:t>Approval, rejection, eligibility and official decisions remain with PUJB</w:t>
            </w:r>
          </w:p>
        </w:tc>
      </w:tr>
    </w:tbl>
    <w:p>
      <w:pPr>
        <w:pStyle w:val="Heading2"/>
      </w:pPr>
      <w:r>
        <w:t>Core Modules</w:t>
      </w:r>
    </w:p>
    <w:p>
      <w:r>
        <w:rPr>
          <w:b/>
          <w:color w:val="D9252A"/>
        </w:rPr>
        <w:t xml:space="preserve">Executive Command Centre: </w:t>
      </w:r>
      <w:r>
        <w:t>Programme, entrepreneur, assistance, district, follow-up and outcome overview.</w:t>
      </w:r>
    </w:p>
    <w:p>
      <w:r>
        <w:rPr>
          <w:b/>
          <w:color w:val="D9252A"/>
        </w:rPr>
        <w:t xml:space="preserve">Officer AI Workspace: </w:t>
      </w:r>
      <w:r>
        <w:t>Application summaries, missing-document flags, previous participation context, case notes and next-action preparation.</w:t>
      </w:r>
    </w:p>
    <w:p>
      <w:r>
        <w:rPr>
          <w:b/>
          <w:color w:val="D9252A"/>
        </w:rPr>
        <w:t xml:space="preserve">Entrepreneur 360: </w:t>
      </w:r>
      <w:r>
        <w:t>Consolidated view of business profile, programmes, training, documents, finance indicators, digital maturity and progress.</w:t>
      </w:r>
    </w:p>
    <w:p>
      <w:r>
        <w:rPr>
          <w:b/>
          <w:color w:val="D9252A"/>
        </w:rPr>
        <w:t xml:space="preserve">Programme Intelligence: </w:t>
      </w:r>
      <w:r>
        <w:t>Application → document check → officer review → interview → committee → approval → assistance → monitoring → outcome.</w:t>
      </w:r>
    </w:p>
    <w:p>
      <w:r>
        <w:rPr>
          <w:b/>
          <w:color w:val="D9252A"/>
        </w:rPr>
        <w:t xml:space="preserve">AI Programme Assistant: </w:t>
      </w:r>
      <w:r>
        <w:t>Entrepreneur Q&amp;A on programmes, document requirements and application status where permitted.</w:t>
      </w:r>
    </w:p>
    <w:p>
      <w:r>
        <w:rPr>
          <w:b/>
          <w:color w:val="D9252A"/>
        </w:rPr>
        <w:t xml:space="preserve">Financial Intelligence: </w:t>
      </w:r>
      <w:r>
        <w:t>Optional bank-statement parsing, classification, P&amp;L/cashflow indicators and permission-based financial views.</w:t>
      </w:r>
    </w:p>
    <w:p>
      <w:r>
        <w:rPr>
          <w:b/>
          <w:color w:val="D9252A"/>
        </w:rPr>
        <w:t xml:space="preserve">Management AI: </w:t>
      </w:r>
      <w:r>
        <w:t>Natural-language queries over authorised programme and ecosystem data, with traceable evidence and role controls.</w:t>
      </w:r>
    </w:p>
    <w:p>
      <w:r>
        <w:rPr>
          <w:b/>
          <w:color w:val="D9252A"/>
        </w:rPr>
        <w:t xml:space="preserve">Outcome &amp; Impact Monitoring: </w:t>
      </w:r>
      <w:r>
        <w:t>Track post-programme progress such as revenue, employment, production, digital adoption or other agreed KPIs.</w:t>
      </w:r>
    </w:p>
    <w:p>
      <w:pPr>
        <w:pStyle w:val="Heading1"/>
      </w:pPr>
      <w:r>
        <w:t>7. Technical Architecture</w:t>
      </w:r>
    </w:p>
    <w:p>
      <w:r>
        <w:t>The reference architecture uses a conventional transactional layer combined with a separate analytics layer. This improves maintainability and avoids using the operational database for heavy analytical workloads.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Component</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Role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Recommended Technology</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Notes</w:t>
            </w:r>
          </w:p>
        </w:tc>
      </w:tr>
      <w:tr>
        <w:tc>
          <w:tcPr>
            <w:tcW w:type="dxa" w:w="2550"/>
            <w:tcMar>
              <w:top w:w="120" w:type="dxa"/>
              <w:start w:w="120" w:type="dxa"/>
              <w:bottom w:w="120" w:type="dxa"/>
              <w:end w:w="120" w:type="dxa"/>
            </w:tcMar>
            <w:vAlign w:val="center"/>
          </w:tcPr>
          <w:p>
            <w:pPr>
              <w:spacing w:after="40"/>
            </w:pPr>
            <w:r>
              <w:rPr>
                <w:rFonts w:ascii="Aptos" w:hAnsi="Aptos"/>
                <w:sz w:val="17"/>
              </w:rPr>
              <w:t>Application layer</w:t>
            </w:r>
          </w:p>
        </w:tc>
        <w:tc>
          <w:tcPr>
            <w:tcW w:type="dxa" w:w="2550"/>
            <w:tcMar>
              <w:top w:w="120" w:type="dxa"/>
              <w:start w:w="120" w:type="dxa"/>
              <w:bottom w:w="120" w:type="dxa"/>
              <w:end w:w="120" w:type="dxa"/>
            </w:tcMar>
            <w:vAlign w:val="center"/>
          </w:tcPr>
          <w:p>
            <w:pPr>
              <w:spacing w:after="40"/>
            </w:pPr>
            <w:r>
              <w:rPr>
                <w:rFonts w:ascii="Aptos" w:hAnsi="Aptos"/>
                <w:sz w:val="17"/>
              </w:rPr>
              <w:t>UI, RBAC, API, workflows</w:t>
            </w:r>
          </w:p>
        </w:tc>
        <w:tc>
          <w:tcPr>
            <w:tcW w:type="dxa" w:w="2550"/>
            <w:tcMar>
              <w:top w:w="120" w:type="dxa"/>
              <w:start w:w="120" w:type="dxa"/>
              <w:bottom w:w="120" w:type="dxa"/>
              <w:end w:w="120" w:type="dxa"/>
            </w:tcMar>
            <w:vAlign w:val="center"/>
          </w:tcPr>
          <w:p>
            <w:pPr>
              <w:spacing w:after="40"/>
            </w:pPr>
            <w:r>
              <w:rPr>
                <w:rFonts w:ascii="Aptos" w:hAnsi="Aptos"/>
                <w:sz w:val="17"/>
              </w:rPr>
              <w:t>Laravel / PHP</w:t>
            </w:r>
          </w:p>
        </w:tc>
        <w:tc>
          <w:tcPr>
            <w:tcW w:type="dxa" w:w="2550"/>
            <w:tcMar>
              <w:top w:w="120" w:type="dxa"/>
              <w:start w:w="120" w:type="dxa"/>
              <w:bottom w:w="120" w:type="dxa"/>
              <w:end w:w="120" w:type="dxa"/>
            </w:tcMar>
            <w:vAlign w:val="center"/>
          </w:tcPr>
          <w:p>
            <w:pPr>
              <w:spacing w:after="40"/>
            </w:pPr>
            <w:r>
              <w:rPr>
                <w:rFonts w:ascii="Aptos" w:hAnsi="Aptos"/>
                <w:sz w:val="17"/>
              </w:rPr>
              <w:t>Modular web application</w:t>
            </w:r>
          </w:p>
        </w:tc>
      </w:tr>
      <w:tr>
        <w:tc>
          <w:tcPr>
            <w:tcW w:type="dxa" w:w="2550"/>
            <w:tcMar>
              <w:top w:w="120" w:type="dxa"/>
              <w:start w:w="120" w:type="dxa"/>
              <w:bottom w:w="120" w:type="dxa"/>
              <w:end w:w="120" w:type="dxa"/>
            </w:tcMar>
            <w:vAlign w:val="center"/>
          </w:tcPr>
          <w:p>
            <w:pPr>
              <w:spacing w:after="40"/>
            </w:pPr>
            <w:r>
              <w:rPr>
                <w:rFonts w:ascii="Aptos" w:hAnsi="Aptos"/>
                <w:sz w:val="17"/>
              </w:rPr>
              <w:t>Transactional database</w:t>
            </w:r>
          </w:p>
        </w:tc>
        <w:tc>
          <w:tcPr>
            <w:tcW w:type="dxa" w:w="2550"/>
            <w:tcMar>
              <w:top w:w="120" w:type="dxa"/>
              <w:start w:w="120" w:type="dxa"/>
              <w:bottom w:w="120" w:type="dxa"/>
              <w:end w:w="120" w:type="dxa"/>
            </w:tcMar>
            <w:vAlign w:val="center"/>
          </w:tcPr>
          <w:p>
            <w:pPr>
              <w:spacing w:after="40"/>
            </w:pPr>
            <w:r>
              <w:rPr>
                <w:rFonts w:ascii="Aptos" w:hAnsi="Aptos"/>
                <w:sz w:val="17"/>
              </w:rPr>
              <w:t>System data owned by the solution</w:t>
            </w:r>
          </w:p>
        </w:tc>
        <w:tc>
          <w:tcPr>
            <w:tcW w:type="dxa" w:w="2550"/>
            <w:tcMar>
              <w:top w:w="120" w:type="dxa"/>
              <w:start w:w="120" w:type="dxa"/>
              <w:bottom w:w="120" w:type="dxa"/>
              <w:end w:w="120" w:type="dxa"/>
            </w:tcMar>
            <w:vAlign w:val="center"/>
          </w:tcPr>
          <w:p>
            <w:pPr>
              <w:spacing w:after="40"/>
            </w:pPr>
            <w:r>
              <w:rPr>
                <w:rFonts w:ascii="Aptos" w:hAnsi="Aptos"/>
                <w:sz w:val="17"/>
              </w:rPr>
              <w:t>MySQL</w:t>
            </w:r>
          </w:p>
        </w:tc>
        <w:tc>
          <w:tcPr>
            <w:tcW w:type="dxa" w:w="2550"/>
            <w:tcMar>
              <w:top w:w="120" w:type="dxa"/>
              <w:start w:w="120" w:type="dxa"/>
              <w:bottom w:w="120" w:type="dxa"/>
              <w:end w:w="120" w:type="dxa"/>
            </w:tcMar>
            <w:vAlign w:val="center"/>
          </w:tcPr>
          <w:p>
            <w:pPr>
              <w:spacing w:after="40"/>
            </w:pPr>
            <w:r>
              <w:rPr>
                <w:rFonts w:ascii="Aptos" w:hAnsi="Aptos"/>
                <w:sz w:val="17"/>
              </w:rPr>
              <w:t>Operational records; PADU integration depends on approved interface</w:t>
            </w:r>
          </w:p>
        </w:tc>
      </w:tr>
      <w:tr>
        <w:tc>
          <w:tcPr>
            <w:tcW w:type="dxa" w:w="2550"/>
            <w:tcMar>
              <w:top w:w="120" w:type="dxa"/>
              <w:start w:w="120" w:type="dxa"/>
              <w:bottom w:w="120" w:type="dxa"/>
              <w:end w:w="120" w:type="dxa"/>
            </w:tcMar>
            <w:vAlign w:val="center"/>
          </w:tcPr>
          <w:p>
            <w:pPr>
              <w:spacing w:after="40"/>
            </w:pPr>
            <w:r>
              <w:rPr>
                <w:rFonts w:ascii="Aptos" w:hAnsi="Aptos"/>
                <w:sz w:val="17"/>
              </w:rPr>
              <w:t>Analytics engine</w:t>
            </w:r>
          </w:p>
        </w:tc>
        <w:tc>
          <w:tcPr>
            <w:tcW w:type="dxa" w:w="2550"/>
            <w:tcMar>
              <w:top w:w="120" w:type="dxa"/>
              <w:start w:w="120" w:type="dxa"/>
              <w:bottom w:w="120" w:type="dxa"/>
              <w:end w:w="120" w:type="dxa"/>
            </w:tcMar>
            <w:vAlign w:val="center"/>
          </w:tcPr>
          <w:p>
            <w:pPr>
              <w:spacing w:after="40"/>
            </w:pPr>
            <w:r>
              <w:rPr>
                <w:rFonts w:ascii="Aptos" w:hAnsi="Aptos"/>
                <w:sz w:val="17"/>
              </w:rPr>
              <w:t>Read-heavy analysis and aggregation</w:t>
            </w:r>
          </w:p>
        </w:tc>
        <w:tc>
          <w:tcPr>
            <w:tcW w:type="dxa" w:w="2550"/>
            <w:tcMar>
              <w:top w:w="120" w:type="dxa"/>
              <w:start w:w="120" w:type="dxa"/>
              <w:bottom w:w="120" w:type="dxa"/>
              <w:end w:w="120" w:type="dxa"/>
            </w:tcMar>
            <w:vAlign w:val="center"/>
          </w:tcPr>
          <w:p>
            <w:pPr>
              <w:spacing w:after="40"/>
            </w:pPr>
            <w:r>
              <w:rPr>
                <w:rFonts w:ascii="Aptos" w:hAnsi="Aptos"/>
                <w:sz w:val="17"/>
              </w:rPr>
              <w:t>DuckDB</w:t>
            </w:r>
          </w:p>
        </w:tc>
        <w:tc>
          <w:tcPr>
            <w:tcW w:type="dxa" w:w="2550"/>
            <w:tcMar>
              <w:top w:w="120" w:type="dxa"/>
              <w:start w:w="120" w:type="dxa"/>
              <w:bottom w:w="120" w:type="dxa"/>
              <w:end w:w="120" w:type="dxa"/>
            </w:tcMar>
            <w:vAlign w:val="center"/>
          </w:tcPr>
          <w:p>
            <w:pPr>
              <w:spacing w:after="40"/>
            </w:pPr>
            <w:r>
              <w:rPr>
                <w:rFonts w:ascii="Aptos" w:hAnsi="Aptos"/>
                <w:sz w:val="17"/>
              </w:rPr>
              <w:t>Useful for reporting, finance and impact analytics</w:t>
            </w:r>
          </w:p>
        </w:tc>
      </w:tr>
      <w:tr>
        <w:tc>
          <w:tcPr>
            <w:tcW w:type="dxa" w:w="2550"/>
            <w:tcMar>
              <w:top w:w="120" w:type="dxa"/>
              <w:start w:w="120" w:type="dxa"/>
              <w:bottom w:w="120" w:type="dxa"/>
              <w:end w:w="120" w:type="dxa"/>
            </w:tcMar>
            <w:vAlign w:val="center"/>
          </w:tcPr>
          <w:p>
            <w:pPr>
              <w:spacing w:after="40"/>
            </w:pPr>
            <w:r>
              <w:rPr>
                <w:rFonts w:ascii="Aptos" w:hAnsi="Aptos"/>
                <w:sz w:val="17"/>
              </w:rPr>
              <w:t>Cache / Queue</w:t>
            </w:r>
          </w:p>
        </w:tc>
        <w:tc>
          <w:tcPr>
            <w:tcW w:type="dxa" w:w="2550"/>
            <w:tcMar>
              <w:top w:w="120" w:type="dxa"/>
              <w:start w:w="120" w:type="dxa"/>
              <w:bottom w:w="120" w:type="dxa"/>
              <w:end w:w="120" w:type="dxa"/>
            </w:tcMar>
            <w:vAlign w:val="center"/>
          </w:tcPr>
          <w:p>
            <w:pPr>
              <w:spacing w:after="40"/>
            </w:pPr>
            <w:r>
              <w:rPr>
                <w:rFonts w:ascii="Aptos" w:hAnsi="Aptos"/>
                <w:sz w:val="17"/>
              </w:rPr>
              <w:t>Performance and background jobs</w:t>
            </w:r>
          </w:p>
        </w:tc>
        <w:tc>
          <w:tcPr>
            <w:tcW w:type="dxa" w:w="2550"/>
            <w:tcMar>
              <w:top w:w="120" w:type="dxa"/>
              <w:start w:w="120" w:type="dxa"/>
              <w:bottom w:w="120" w:type="dxa"/>
              <w:end w:w="120" w:type="dxa"/>
            </w:tcMar>
            <w:vAlign w:val="center"/>
          </w:tcPr>
          <w:p>
            <w:pPr>
              <w:spacing w:after="40"/>
            </w:pPr>
            <w:r>
              <w:rPr>
                <w:rFonts w:ascii="Aptos" w:hAnsi="Aptos"/>
                <w:sz w:val="17"/>
              </w:rPr>
              <w:t>Redis</w:t>
            </w:r>
          </w:p>
        </w:tc>
        <w:tc>
          <w:tcPr>
            <w:tcW w:type="dxa" w:w="2550"/>
            <w:tcMar>
              <w:top w:w="120" w:type="dxa"/>
              <w:start w:w="120" w:type="dxa"/>
              <w:bottom w:w="120" w:type="dxa"/>
              <w:end w:w="120" w:type="dxa"/>
            </w:tcMar>
            <w:vAlign w:val="center"/>
          </w:tcPr>
          <w:p>
            <w:pPr>
              <w:spacing w:after="40"/>
            </w:pPr>
            <w:r>
              <w:rPr>
                <w:rFonts w:ascii="Aptos" w:hAnsi="Aptos"/>
                <w:sz w:val="17"/>
              </w:rPr>
              <w:t>Queue, cache and rate controls</w:t>
            </w:r>
          </w:p>
        </w:tc>
      </w:tr>
      <w:tr>
        <w:tc>
          <w:tcPr>
            <w:tcW w:type="dxa" w:w="2550"/>
            <w:tcMar>
              <w:top w:w="120" w:type="dxa"/>
              <w:start w:w="120" w:type="dxa"/>
              <w:bottom w:w="120" w:type="dxa"/>
              <w:end w:w="120" w:type="dxa"/>
            </w:tcMar>
            <w:vAlign w:val="center"/>
          </w:tcPr>
          <w:p>
            <w:pPr>
              <w:spacing w:after="40"/>
            </w:pPr>
            <w:r>
              <w:rPr>
                <w:rFonts w:ascii="Aptos" w:hAnsi="Aptos"/>
                <w:sz w:val="17"/>
              </w:rPr>
              <w:t>Web gateway</w:t>
            </w:r>
          </w:p>
        </w:tc>
        <w:tc>
          <w:tcPr>
            <w:tcW w:type="dxa" w:w="2550"/>
            <w:tcMar>
              <w:top w:w="120" w:type="dxa"/>
              <w:start w:w="120" w:type="dxa"/>
              <w:bottom w:w="120" w:type="dxa"/>
              <w:end w:w="120" w:type="dxa"/>
            </w:tcMar>
            <w:vAlign w:val="center"/>
          </w:tcPr>
          <w:p>
            <w:pPr>
              <w:spacing w:after="40"/>
            </w:pPr>
            <w:r>
              <w:rPr>
                <w:rFonts w:ascii="Aptos" w:hAnsi="Aptos"/>
                <w:sz w:val="17"/>
              </w:rPr>
              <w:t>Reverse proxy / TLS</w:t>
            </w:r>
          </w:p>
        </w:tc>
        <w:tc>
          <w:tcPr>
            <w:tcW w:type="dxa" w:w="2550"/>
            <w:tcMar>
              <w:top w:w="120" w:type="dxa"/>
              <w:start w:w="120" w:type="dxa"/>
              <w:bottom w:w="120" w:type="dxa"/>
              <w:end w:w="120" w:type="dxa"/>
            </w:tcMar>
            <w:vAlign w:val="center"/>
          </w:tcPr>
          <w:p>
            <w:pPr>
              <w:spacing w:after="40"/>
            </w:pPr>
            <w:r>
              <w:rPr>
                <w:rFonts w:ascii="Aptos" w:hAnsi="Aptos"/>
                <w:sz w:val="17"/>
              </w:rPr>
              <w:t>Nginx</w:t>
            </w:r>
          </w:p>
        </w:tc>
        <w:tc>
          <w:tcPr>
            <w:tcW w:type="dxa" w:w="2550"/>
            <w:tcMar>
              <w:top w:w="120" w:type="dxa"/>
              <w:start w:w="120" w:type="dxa"/>
              <w:bottom w:w="120" w:type="dxa"/>
              <w:end w:w="120" w:type="dxa"/>
            </w:tcMar>
            <w:vAlign w:val="center"/>
          </w:tcPr>
          <w:p>
            <w:pPr>
              <w:spacing w:after="40"/>
            </w:pPr>
            <w:r>
              <w:rPr>
                <w:rFonts w:ascii="Aptos" w:hAnsi="Aptos"/>
                <w:sz w:val="17"/>
              </w:rPr>
              <w:t>Deployment edge</w:t>
            </w:r>
          </w:p>
        </w:tc>
      </w:tr>
      <w:tr>
        <w:tc>
          <w:tcPr>
            <w:tcW w:type="dxa" w:w="2550"/>
            <w:tcMar>
              <w:top w:w="120" w:type="dxa"/>
              <w:start w:w="120" w:type="dxa"/>
              <w:bottom w:w="120" w:type="dxa"/>
              <w:end w:w="120" w:type="dxa"/>
            </w:tcMar>
            <w:vAlign w:val="center"/>
          </w:tcPr>
          <w:p>
            <w:pPr>
              <w:spacing w:after="40"/>
            </w:pPr>
            <w:r>
              <w:rPr>
                <w:rFonts w:ascii="Aptos" w:hAnsi="Aptos"/>
                <w:sz w:val="17"/>
              </w:rPr>
              <w:t>Deployment</w:t>
            </w:r>
          </w:p>
        </w:tc>
        <w:tc>
          <w:tcPr>
            <w:tcW w:type="dxa" w:w="2550"/>
            <w:tcMar>
              <w:top w:w="120" w:type="dxa"/>
              <w:start w:w="120" w:type="dxa"/>
              <w:bottom w:w="120" w:type="dxa"/>
              <w:end w:w="120" w:type="dxa"/>
            </w:tcMar>
            <w:vAlign w:val="center"/>
          </w:tcPr>
          <w:p>
            <w:pPr>
              <w:spacing w:after="40"/>
            </w:pPr>
            <w:r>
              <w:rPr>
                <w:rFonts w:ascii="Aptos" w:hAnsi="Aptos"/>
                <w:sz w:val="17"/>
              </w:rPr>
              <w:t>Portable environment</w:t>
            </w:r>
          </w:p>
        </w:tc>
        <w:tc>
          <w:tcPr>
            <w:tcW w:type="dxa" w:w="2550"/>
            <w:tcMar>
              <w:top w:w="120" w:type="dxa"/>
              <w:start w:w="120" w:type="dxa"/>
              <w:bottom w:w="120" w:type="dxa"/>
              <w:end w:w="120" w:type="dxa"/>
            </w:tcMar>
            <w:vAlign w:val="center"/>
          </w:tcPr>
          <w:p>
            <w:pPr>
              <w:spacing w:after="40"/>
            </w:pPr>
            <w:r>
              <w:rPr>
                <w:rFonts w:ascii="Aptos" w:hAnsi="Aptos"/>
                <w:sz w:val="17"/>
              </w:rPr>
              <w:t>Docker</w:t>
            </w:r>
          </w:p>
        </w:tc>
        <w:tc>
          <w:tcPr>
            <w:tcW w:type="dxa" w:w="2550"/>
            <w:tcMar>
              <w:top w:w="120" w:type="dxa"/>
              <w:start w:w="120" w:type="dxa"/>
              <w:bottom w:w="120" w:type="dxa"/>
              <w:end w:w="120" w:type="dxa"/>
            </w:tcMar>
            <w:vAlign w:val="center"/>
          </w:tcPr>
          <w:p>
            <w:pPr>
              <w:spacing w:after="40"/>
            </w:pPr>
            <w:r>
              <w:rPr>
                <w:rFonts w:ascii="Aptos" w:hAnsi="Aptos"/>
                <w:sz w:val="17"/>
              </w:rPr>
              <w:t>Repeatable deployment across approved infrastructure</w:t>
            </w:r>
          </w:p>
        </w:tc>
      </w:tr>
    </w:tbl>
    <w:p>
      <w:pPr>
        <w:pStyle w:val="Heading2"/>
      </w:pPr>
      <w:r>
        <w:t>AI Governance by Design</w:t>
      </w:r>
    </w:p>
    <w:p>
      <w:pPr>
        <w:pStyle w:val="ListBullet"/>
      </w:pPr>
      <w:r>
        <w:t>Role-based access control (RBAC)</w:t>
      </w:r>
    </w:p>
    <w:p>
      <w:pPr>
        <w:pStyle w:val="ListBullet"/>
      </w:pPr>
      <w:r>
        <w:t>Least-privilege data access</w:t>
      </w:r>
    </w:p>
    <w:p>
      <w:pPr>
        <w:pStyle w:val="ListBullet"/>
      </w:pPr>
      <w:r>
        <w:t>Audit logs for sensitive actions</w:t>
      </w:r>
    </w:p>
    <w:p>
      <w:pPr>
        <w:pStyle w:val="ListBullet"/>
      </w:pPr>
      <w:r>
        <w:t>Human-in-the-loop approval points</w:t>
      </w:r>
    </w:p>
    <w:p>
      <w:pPr>
        <w:pStyle w:val="ListBullet"/>
      </w:pPr>
      <w:r>
        <w:t>Prompt / workflow versioning</w:t>
      </w:r>
    </w:p>
    <w:p>
      <w:pPr>
        <w:pStyle w:val="ListBullet"/>
      </w:pPr>
      <w:r>
        <w:t>Evidence-linked recommendations where practical</w:t>
      </w:r>
    </w:p>
    <w:p>
      <w:pPr>
        <w:pStyle w:val="ListBullet"/>
      </w:pPr>
      <w:r>
        <w:t>Data-retention and PDPA controls</w:t>
      </w:r>
    </w:p>
    <w:p>
      <w:pPr>
        <w:pStyle w:val="ListBullet"/>
      </w:pPr>
      <w:r>
        <w:t>Separation of demo/synthetic data from production data</w:t>
      </w:r>
    </w:p>
    <w:p>
      <w:pPr>
        <w:pStyle w:val="ListBullet"/>
      </w:pPr>
      <w:r>
        <w:t>No unrestricted direct database write-back to PADU</w:t>
      </w:r>
    </w:p>
    <w:p>
      <w:r>
        <w:br w:type="page"/>
      </w:r>
    </w:p>
    <w:p>
      <w:pPr>
        <w:pStyle w:val="Heading1"/>
      </w:pPr>
      <w:r>
        <w:t>8. Proposed Implementation Roadmap</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Phase</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Focus</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Primary Output</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PUJB Involvement</w:t>
            </w:r>
          </w:p>
        </w:tc>
        <w:tc>
          <w:tcPr>
            <w:tcW w:type="dxa" w:w="2040"/>
            <w:shd w:fill="123A78"/>
            <w:tcMar>
              <w:top w:w="120" w:type="dxa"/>
              <w:start w:w="120" w:type="dxa"/>
              <w:bottom w:w="120" w:type="dxa"/>
              <w:end w:w="120" w:type="dxa"/>
            </w:tcMar>
            <w:vAlign w:val="center"/>
          </w:tcPr>
          <w:p>
            <w:pPr>
              <w:spacing w:after="40"/>
            </w:pPr>
            <w:r>
              <w:rPr>
                <w:rFonts w:ascii="Aptos" w:hAnsi="Aptos"/>
                <w:b/>
                <w:color w:val="FFFFFF"/>
                <w:sz w:val="17"/>
              </w:rPr>
              <w:t>Gate</w:t>
            </w:r>
          </w:p>
        </w:tc>
      </w:tr>
      <w:tr>
        <w:tc>
          <w:tcPr>
            <w:tcW w:type="dxa" w:w="2040"/>
            <w:tcMar>
              <w:top w:w="120" w:type="dxa"/>
              <w:start w:w="120" w:type="dxa"/>
              <w:bottom w:w="120" w:type="dxa"/>
              <w:end w:w="120" w:type="dxa"/>
            </w:tcMar>
            <w:vAlign w:val="center"/>
          </w:tcPr>
          <w:p>
            <w:pPr>
              <w:spacing w:after="40"/>
            </w:pPr>
            <w:r>
              <w:rPr>
                <w:rFonts w:ascii="Aptos" w:hAnsi="Aptos"/>
                <w:sz w:val="17"/>
              </w:rPr>
              <w:t>0 — Discovery</w:t>
            </w:r>
          </w:p>
        </w:tc>
        <w:tc>
          <w:tcPr>
            <w:tcW w:type="dxa" w:w="2040"/>
            <w:tcMar>
              <w:top w:w="120" w:type="dxa"/>
              <w:start w:w="120" w:type="dxa"/>
              <w:bottom w:w="120" w:type="dxa"/>
              <w:end w:w="120" w:type="dxa"/>
            </w:tcMar>
            <w:vAlign w:val="center"/>
          </w:tcPr>
          <w:p>
            <w:pPr>
              <w:spacing w:after="40"/>
            </w:pPr>
            <w:r>
              <w:rPr>
                <w:rFonts w:ascii="Aptos" w:hAnsi="Aptos"/>
                <w:sz w:val="17"/>
              </w:rPr>
              <w:t>Scope, PADU boundary, programme mapping</w:t>
            </w:r>
          </w:p>
        </w:tc>
        <w:tc>
          <w:tcPr>
            <w:tcW w:type="dxa" w:w="2040"/>
            <w:tcMar>
              <w:top w:w="120" w:type="dxa"/>
              <w:start w:w="120" w:type="dxa"/>
              <w:bottom w:w="120" w:type="dxa"/>
              <w:end w:w="120" w:type="dxa"/>
            </w:tcMar>
            <w:vAlign w:val="center"/>
          </w:tcPr>
          <w:p>
            <w:pPr>
              <w:spacing w:after="40"/>
            </w:pPr>
            <w:r>
              <w:rPr>
                <w:rFonts w:ascii="Aptos" w:hAnsi="Aptos"/>
                <w:sz w:val="17"/>
              </w:rPr>
              <w:t>Approved requirements and data map</w:t>
            </w:r>
          </w:p>
        </w:tc>
        <w:tc>
          <w:tcPr>
            <w:tcW w:type="dxa" w:w="2040"/>
            <w:tcMar>
              <w:top w:w="120" w:type="dxa"/>
              <w:start w:w="120" w:type="dxa"/>
              <w:bottom w:w="120" w:type="dxa"/>
              <w:end w:w="120" w:type="dxa"/>
            </w:tcMar>
            <w:vAlign w:val="center"/>
          </w:tcPr>
          <w:p>
            <w:pPr>
              <w:spacing w:after="40"/>
            </w:pPr>
            <w:r>
              <w:rPr>
                <w:rFonts w:ascii="Aptos" w:hAnsi="Aptos"/>
                <w:sz w:val="17"/>
              </w:rPr>
              <w:t>System owner + programme team</w:t>
            </w:r>
          </w:p>
        </w:tc>
        <w:tc>
          <w:tcPr>
            <w:tcW w:type="dxa" w:w="2040"/>
            <w:tcMar>
              <w:top w:w="120" w:type="dxa"/>
              <w:start w:w="120" w:type="dxa"/>
              <w:bottom w:w="120" w:type="dxa"/>
              <w:end w:w="120" w:type="dxa"/>
            </w:tcMar>
            <w:vAlign w:val="center"/>
          </w:tcPr>
          <w:p>
            <w:pPr>
              <w:spacing w:after="40"/>
            </w:pPr>
            <w:r>
              <w:rPr>
                <w:rFonts w:ascii="Aptos" w:hAnsi="Aptos"/>
                <w:sz w:val="17"/>
              </w:rPr>
              <w:t>Scope sign-off</w:t>
            </w:r>
          </w:p>
        </w:tc>
      </w:tr>
      <w:tr>
        <w:tc>
          <w:tcPr>
            <w:tcW w:type="dxa" w:w="2040"/>
            <w:tcMar>
              <w:top w:w="120" w:type="dxa"/>
              <w:start w:w="120" w:type="dxa"/>
              <w:bottom w:w="120" w:type="dxa"/>
              <w:end w:w="120" w:type="dxa"/>
            </w:tcMar>
            <w:vAlign w:val="center"/>
          </w:tcPr>
          <w:p>
            <w:pPr>
              <w:spacing w:after="40"/>
            </w:pPr>
            <w:r>
              <w:rPr>
                <w:rFonts w:ascii="Aptos" w:hAnsi="Aptos"/>
                <w:sz w:val="17"/>
              </w:rPr>
              <w:t>1 — SME Pilot</w:t>
            </w:r>
          </w:p>
        </w:tc>
        <w:tc>
          <w:tcPr>
            <w:tcW w:type="dxa" w:w="2040"/>
            <w:tcMar>
              <w:top w:w="120" w:type="dxa"/>
              <w:start w:w="120" w:type="dxa"/>
              <w:bottom w:w="120" w:type="dxa"/>
              <w:end w:w="120" w:type="dxa"/>
            </w:tcMar>
            <w:vAlign w:val="center"/>
          </w:tcPr>
          <w:p>
            <w:pPr>
              <w:spacing w:after="40"/>
            </w:pPr>
            <w:r>
              <w:rPr>
                <w:rFonts w:ascii="Aptos" w:hAnsi="Aptos"/>
                <w:sz w:val="17"/>
              </w:rPr>
              <w:t>Website + training cohort</w:t>
            </w:r>
          </w:p>
        </w:tc>
        <w:tc>
          <w:tcPr>
            <w:tcW w:type="dxa" w:w="2040"/>
            <w:tcMar>
              <w:top w:w="120" w:type="dxa"/>
              <w:start w:w="120" w:type="dxa"/>
              <w:bottom w:w="120" w:type="dxa"/>
              <w:end w:w="120" w:type="dxa"/>
            </w:tcMar>
            <w:vAlign w:val="center"/>
          </w:tcPr>
          <w:p>
            <w:pPr>
              <w:spacing w:after="40"/>
            </w:pPr>
            <w:r>
              <w:rPr>
                <w:rFonts w:ascii="Aptos" w:hAnsi="Aptos"/>
                <w:sz w:val="17"/>
              </w:rPr>
              <w:t>Working SME outputs</w:t>
            </w:r>
          </w:p>
        </w:tc>
        <w:tc>
          <w:tcPr>
            <w:tcW w:type="dxa" w:w="2040"/>
            <w:tcMar>
              <w:top w:w="120" w:type="dxa"/>
              <w:start w:w="120" w:type="dxa"/>
              <w:bottom w:w="120" w:type="dxa"/>
              <w:end w:w="120" w:type="dxa"/>
            </w:tcMar>
            <w:vAlign w:val="center"/>
          </w:tcPr>
          <w:p>
            <w:pPr>
              <w:spacing w:after="40"/>
            </w:pPr>
            <w:r>
              <w:rPr>
                <w:rFonts w:ascii="Aptos" w:hAnsi="Aptos"/>
                <w:sz w:val="17"/>
              </w:rPr>
              <w:t>Cohort selection + coordination</w:t>
            </w:r>
          </w:p>
        </w:tc>
        <w:tc>
          <w:tcPr>
            <w:tcW w:type="dxa" w:w="2040"/>
            <w:tcMar>
              <w:top w:w="120" w:type="dxa"/>
              <w:start w:w="120" w:type="dxa"/>
              <w:bottom w:w="120" w:type="dxa"/>
              <w:end w:w="120" w:type="dxa"/>
            </w:tcMar>
            <w:vAlign w:val="center"/>
          </w:tcPr>
          <w:p>
            <w:pPr>
              <w:spacing w:after="40"/>
            </w:pPr>
            <w:r>
              <w:rPr>
                <w:rFonts w:ascii="Aptos" w:hAnsi="Aptos"/>
                <w:sz w:val="17"/>
              </w:rPr>
              <w:t>Pilot review</w:t>
            </w:r>
          </w:p>
        </w:tc>
      </w:tr>
      <w:tr>
        <w:tc>
          <w:tcPr>
            <w:tcW w:type="dxa" w:w="2040"/>
            <w:tcMar>
              <w:top w:w="120" w:type="dxa"/>
              <w:start w:w="120" w:type="dxa"/>
              <w:bottom w:w="120" w:type="dxa"/>
              <w:end w:w="120" w:type="dxa"/>
            </w:tcMar>
            <w:vAlign w:val="center"/>
          </w:tcPr>
          <w:p>
            <w:pPr>
              <w:spacing w:after="40"/>
            </w:pPr>
            <w:r>
              <w:rPr>
                <w:rFonts w:ascii="Aptos" w:hAnsi="Aptos"/>
                <w:sz w:val="17"/>
              </w:rPr>
              <w:t>2 — PUJB AI Pilot</w:t>
            </w:r>
          </w:p>
        </w:tc>
        <w:tc>
          <w:tcPr>
            <w:tcW w:type="dxa" w:w="2040"/>
            <w:tcMar>
              <w:top w:w="120" w:type="dxa"/>
              <w:start w:w="120" w:type="dxa"/>
              <w:bottom w:w="120" w:type="dxa"/>
              <w:end w:w="120" w:type="dxa"/>
            </w:tcMar>
            <w:vAlign w:val="center"/>
          </w:tcPr>
          <w:p>
            <w:pPr>
              <w:spacing w:after="40"/>
            </w:pPr>
            <w:r>
              <w:rPr>
                <w:rFonts w:ascii="Aptos" w:hAnsi="Aptos"/>
                <w:sz w:val="17"/>
              </w:rPr>
              <w:t>Read-only / controlled integration</w:t>
            </w:r>
          </w:p>
        </w:tc>
        <w:tc>
          <w:tcPr>
            <w:tcW w:type="dxa" w:w="2040"/>
            <w:tcMar>
              <w:top w:w="120" w:type="dxa"/>
              <w:start w:w="120" w:type="dxa"/>
              <w:bottom w:w="120" w:type="dxa"/>
              <w:end w:w="120" w:type="dxa"/>
            </w:tcMar>
            <w:vAlign w:val="center"/>
          </w:tcPr>
          <w:p>
            <w:pPr>
              <w:spacing w:after="40"/>
            </w:pPr>
            <w:r>
              <w:rPr>
                <w:rFonts w:ascii="Aptos" w:hAnsi="Aptos"/>
                <w:sz w:val="17"/>
              </w:rPr>
              <w:t>Officer + management demo</w:t>
            </w:r>
          </w:p>
        </w:tc>
        <w:tc>
          <w:tcPr>
            <w:tcW w:type="dxa" w:w="2040"/>
            <w:tcMar>
              <w:top w:w="120" w:type="dxa"/>
              <w:start w:w="120" w:type="dxa"/>
              <w:bottom w:w="120" w:type="dxa"/>
              <w:end w:w="120" w:type="dxa"/>
            </w:tcMar>
            <w:vAlign w:val="center"/>
          </w:tcPr>
          <w:p>
            <w:pPr>
              <w:spacing w:after="40"/>
            </w:pPr>
            <w:r>
              <w:rPr>
                <w:rFonts w:ascii="Aptos" w:hAnsi="Aptos"/>
                <w:sz w:val="17"/>
              </w:rPr>
              <w:t>Technical access + UAT</w:t>
            </w:r>
          </w:p>
        </w:tc>
        <w:tc>
          <w:tcPr>
            <w:tcW w:type="dxa" w:w="2040"/>
            <w:tcMar>
              <w:top w:w="120" w:type="dxa"/>
              <w:start w:w="120" w:type="dxa"/>
              <w:bottom w:w="120" w:type="dxa"/>
              <w:end w:w="120" w:type="dxa"/>
            </w:tcMar>
            <w:vAlign w:val="center"/>
          </w:tcPr>
          <w:p>
            <w:pPr>
              <w:spacing w:after="40"/>
            </w:pPr>
            <w:r>
              <w:rPr>
                <w:rFonts w:ascii="Aptos" w:hAnsi="Aptos"/>
                <w:sz w:val="17"/>
              </w:rPr>
              <w:t>UAT approval</w:t>
            </w:r>
          </w:p>
        </w:tc>
      </w:tr>
      <w:tr>
        <w:tc>
          <w:tcPr>
            <w:tcW w:type="dxa" w:w="2040"/>
            <w:tcMar>
              <w:top w:w="120" w:type="dxa"/>
              <w:start w:w="120" w:type="dxa"/>
              <w:bottom w:w="120" w:type="dxa"/>
              <w:end w:w="120" w:type="dxa"/>
            </w:tcMar>
            <w:vAlign w:val="center"/>
          </w:tcPr>
          <w:p>
            <w:pPr>
              <w:spacing w:after="40"/>
            </w:pPr>
            <w:r>
              <w:rPr>
                <w:rFonts w:ascii="Aptos" w:hAnsi="Aptos"/>
                <w:sz w:val="17"/>
              </w:rPr>
              <w:t>3 — Controlled Production</w:t>
            </w:r>
          </w:p>
        </w:tc>
        <w:tc>
          <w:tcPr>
            <w:tcW w:type="dxa" w:w="2040"/>
            <w:tcMar>
              <w:top w:w="120" w:type="dxa"/>
              <w:start w:w="120" w:type="dxa"/>
              <w:bottom w:w="120" w:type="dxa"/>
              <w:end w:w="120" w:type="dxa"/>
            </w:tcMar>
            <w:vAlign w:val="center"/>
          </w:tcPr>
          <w:p>
            <w:pPr>
              <w:spacing w:after="40"/>
            </w:pPr>
            <w:r>
              <w:rPr>
                <w:rFonts w:ascii="Aptos" w:hAnsi="Aptos"/>
                <w:sz w:val="17"/>
              </w:rPr>
              <w:t>Security, governance, support</w:t>
            </w:r>
          </w:p>
        </w:tc>
        <w:tc>
          <w:tcPr>
            <w:tcW w:type="dxa" w:w="2040"/>
            <w:tcMar>
              <w:top w:w="120" w:type="dxa"/>
              <w:start w:w="120" w:type="dxa"/>
              <w:bottom w:w="120" w:type="dxa"/>
              <w:end w:w="120" w:type="dxa"/>
            </w:tcMar>
            <w:vAlign w:val="center"/>
          </w:tcPr>
          <w:p>
            <w:pPr>
              <w:spacing w:after="40"/>
            </w:pPr>
            <w:r>
              <w:rPr>
                <w:rFonts w:ascii="Aptos" w:hAnsi="Aptos"/>
                <w:sz w:val="17"/>
              </w:rPr>
              <w:t>Production-ready modules</w:t>
            </w:r>
          </w:p>
        </w:tc>
        <w:tc>
          <w:tcPr>
            <w:tcW w:type="dxa" w:w="2040"/>
            <w:tcMar>
              <w:top w:w="120" w:type="dxa"/>
              <w:start w:w="120" w:type="dxa"/>
              <w:bottom w:w="120" w:type="dxa"/>
              <w:end w:w="120" w:type="dxa"/>
            </w:tcMar>
            <w:vAlign w:val="center"/>
          </w:tcPr>
          <w:p>
            <w:pPr>
              <w:spacing w:after="40"/>
            </w:pPr>
            <w:r>
              <w:rPr>
                <w:rFonts w:ascii="Aptos" w:hAnsi="Aptos"/>
                <w:sz w:val="17"/>
              </w:rPr>
              <w:t>IT / governance / management</w:t>
            </w:r>
          </w:p>
        </w:tc>
        <w:tc>
          <w:tcPr>
            <w:tcW w:type="dxa" w:w="2040"/>
            <w:tcMar>
              <w:top w:w="120" w:type="dxa"/>
              <w:start w:w="120" w:type="dxa"/>
              <w:bottom w:w="120" w:type="dxa"/>
              <w:end w:w="120" w:type="dxa"/>
            </w:tcMar>
            <w:vAlign w:val="center"/>
          </w:tcPr>
          <w:p>
            <w:pPr>
              <w:spacing w:after="40"/>
            </w:pPr>
            <w:r>
              <w:rPr>
                <w:rFonts w:ascii="Aptos" w:hAnsi="Aptos"/>
                <w:sz w:val="17"/>
              </w:rPr>
              <w:t>Go-live approval</w:t>
            </w:r>
          </w:p>
        </w:tc>
      </w:tr>
      <w:tr>
        <w:tc>
          <w:tcPr>
            <w:tcW w:type="dxa" w:w="2040"/>
            <w:tcMar>
              <w:top w:w="120" w:type="dxa"/>
              <w:start w:w="120" w:type="dxa"/>
              <w:bottom w:w="120" w:type="dxa"/>
              <w:end w:w="120" w:type="dxa"/>
            </w:tcMar>
            <w:vAlign w:val="center"/>
          </w:tcPr>
          <w:p>
            <w:pPr>
              <w:spacing w:after="40"/>
            </w:pPr>
            <w:r>
              <w:rPr>
                <w:rFonts w:ascii="Aptos" w:hAnsi="Aptos"/>
                <w:sz w:val="17"/>
              </w:rPr>
              <w:t>4 — Scale</w:t>
            </w:r>
          </w:p>
        </w:tc>
        <w:tc>
          <w:tcPr>
            <w:tcW w:type="dxa" w:w="2040"/>
            <w:tcMar>
              <w:top w:w="120" w:type="dxa"/>
              <w:start w:w="120" w:type="dxa"/>
              <w:bottom w:w="120" w:type="dxa"/>
              <w:end w:w="120" w:type="dxa"/>
            </w:tcMar>
            <w:vAlign w:val="center"/>
          </w:tcPr>
          <w:p>
            <w:pPr>
              <w:spacing w:after="40"/>
            </w:pPr>
            <w:r>
              <w:rPr>
                <w:rFonts w:ascii="Aptos" w:hAnsi="Aptos"/>
                <w:sz w:val="17"/>
              </w:rPr>
              <w:t>More programmes, districts, modules</w:t>
            </w:r>
          </w:p>
        </w:tc>
        <w:tc>
          <w:tcPr>
            <w:tcW w:type="dxa" w:w="2040"/>
            <w:tcMar>
              <w:top w:w="120" w:type="dxa"/>
              <w:start w:w="120" w:type="dxa"/>
              <w:bottom w:w="120" w:type="dxa"/>
              <w:end w:w="120" w:type="dxa"/>
            </w:tcMar>
            <w:vAlign w:val="center"/>
          </w:tcPr>
          <w:p>
            <w:pPr>
              <w:spacing w:after="40"/>
            </w:pPr>
            <w:r>
              <w:rPr>
                <w:rFonts w:ascii="Aptos" w:hAnsi="Aptos"/>
                <w:sz w:val="17"/>
              </w:rPr>
              <w:t>Expanded ecosystem intelligence</w:t>
            </w:r>
          </w:p>
        </w:tc>
        <w:tc>
          <w:tcPr>
            <w:tcW w:type="dxa" w:w="2040"/>
            <w:tcMar>
              <w:top w:w="120" w:type="dxa"/>
              <w:start w:w="120" w:type="dxa"/>
              <w:bottom w:w="120" w:type="dxa"/>
              <w:end w:w="120" w:type="dxa"/>
            </w:tcMar>
            <w:vAlign w:val="center"/>
          </w:tcPr>
          <w:p>
            <w:pPr>
              <w:spacing w:after="40"/>
            </w:pPr>
            <w:r>
              <w:rPr>
                <w:rFonts w:ascii="Aptos" w:hAnsi="Aptos"/>
                <w:sz w:val="17"/>
              </w:rPr>
              <w:t>Ongoing operating team</w:t>
            </w:r>
          </w:p>
        </w:tc>
        <w:tc>
          <w:tcPr>
            <w:tcW w:type="dxa" w:w="2040"/>
            <w:tcMar>
              <w:top w:w="120" w:type="dxa"/>
              <w:start w:w="120" w:type="dxa"/>
              <w:bottom w:w="120" w:type="dxa"/>
              <w:end w:w="120" w:type="dxa"/>
            </w:tcMar>
            <w:vAlign w:val="center"/>
          </w:tcPr>
          <w:p>
            <w:pPr>
              <w:spacing w:after="40"/>
            </w:pPr>
            <w:r>
              <w:rPr>
                <w:rFonts w:ascii="Aptos" w:hAnsi="Aptos"/>
                <w:sz w:val="17"/>
              </w:rPr>
              <w:t>Quarterly review</w:t>
            </w:r>
          </w:p>
        </w:tc>
      </w:tr>
    </w:tbl>
    <w:p>
      <w:pPr>
        <w:pStyle w:val="Heading2"/>
      </w:pPr>
      <w:r>
        <w:t>Recommended Pilot Scope</w:t>
      </w:r>
    </w:p>
    <w:p>
      <w:pPr>
        <w:pStyle w:val="ListBullet"/>
      </w:pPr>
      <w:r>
        <w:t>One selected SME cohort for AI training.</w:t>
      </w:r>
    </w:p>
    <w:p>
      <w:pPr>
        <w:pStyle w:val="ListBullet"/>
      </w:pPr>
      <w:r>
        <w:t>A defined number of SME AI websites representing several business categories.</w:t>
      </w:r>
    </w:p>
    <w:p>
      <w:pPr>
        <w:pStyle w:val="ListBullet"/>
      </w:pPr>
      <w:r>
        <w:t>One or two PUJB programme workflows for the Agentic AI pilot.</w:t>
      </w:r>
    </w:p>
    <w:p>
      <w:pPr>
        <w:pStyle w:val="ListBullet"/>
      </w:pPr>
      <w:r>
        <w:t>Read-only or controlled sample dataset first, before any production connectivity.</w:t>
      </w:r>
    </w:p>
    <w:p>
      <w:pPr>
        <w:pStyle w:val="ListBullet"/>
      </w:pPr>
      <w:r>
        <w:t>Officer and management UAT with documented acceptance criteria.</w:t>
      </w:r>
    </w:p>
    <w:p>
      <w:pPr>
        <w:pStyle w:val="ListBullet"/>
      </w:pPr>
      <w:r>
        <w:t>Measurement of operational time saved, document completeness, follow-up rate and participant adoption.</w:t>
      </w:r>
    </w:p>
    <w:p>
      <w:pPr>
        <w:pStyle w:val="Heading1"/>
      </w:pPr>
      <w:r>
        <w:t>9. Deliverables by Package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Deliverable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Pkg 01 Website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Pkg 02 Training</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Pkg 03 PUJB System</w:t>
            </w:r>
          </w:p>
        </w:tc>
      </w:tr>
      <w:tr>
        <w:tc>
          <w:tcPr>
            <w:tcW w:type="dxa" w:w="2550"/>
            <w:tcMar>
              <w:top w:w="120" w:type="dxa"/>
              <w:start w:w="120" w:type="dxa"/>
              <w:bottom w:w="120" w:type="dxa"/>
              <w:end w:w="120" w:type="dxa"/>
            </w:tcMar>
            <w:vAlign w:val="center"/>
          </w:tcPr>
          <w:p>
            <w:pPr>
              <w:spacing w:after="40"/>
            </w:pPr>
            <w:r>
              <w:rPr>
                <w:rFonts w:ascii="Aptos" w:hAnsi="Aptos"/>
                <w:sz w:val="17"/>
              </w:rPr>
              <w:t>SME digital business website</w:t>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r>
          </w:p>
        </w:tc>
        <w:tc>
          <w:tcPr>
            <w:tcW w:type="dxa" w:w="2550"/>
            <w:tcMar>
              <w:top w:w="120" w:type="dxa"/>
              <w:start w:w="120" w:type="dxa"/>
              <w:bottom w:w="120" w:type="dxa"/>
              <w:end w:w="120" w:type="dxa"/>
            </w:tcMar>
            <w:vAlign w:val="center"/>
          </w:tcPr>
          <w:p>
            <w:pPr>
              <w:spacing w:after="40"/>
            </w:pPr>
            <w:r>
              <w:rPr>
                <w:rFonts w:ascii="Aptos" w:hAnsi="Aptos"/>
                <w:sz w:val="17"/>
              </w:rPr>
            </w:r>
          </w:p>
        </w:tc>
      </w:tr>
      <w:tr>
        <w:tc>
          <w:tcPr>
            <w:tcW w:type="dxa" w:w="2550"/>
            <w:tcMar>
              <w:top w:w="120" w:type="dxa"/>
              <w:start w:w="120" w:type="dxa"/>
              <w:bottom w:w="120" w:type="dxa"/>
              <w:end w:w="120" w:type="dxa"/>
            </w:tcMar>
            <w:vAlign w:val="center"/>
          </w:tcPr>
          <w:p>
            <w:pPr>
              <w:spacing w:after="40"/>
            </w:pPr>
            <w:r>
              <w:rPr>
                <w:rFonts w:ascii="Aptos" w:hAnsi="Aptos"/>
                <w:sz w:val="17"/>
              </w:rPr>
              <w:t>AI FAQ / assistant</w:t>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t>Practical exposure</w:t>
            </w:r>
          </w:p>
        </w:tc>
        <w:tc>
          <w:tcPr>
            <w:tcW w:type="dxa" w:w="2550"/>
            <w:tcMar>
              <w:top w:w="120" w:type="dxa"/>
              <w:start w:w="120" w:type="dxa"/>
              <w:bottom w:w="120" w:type="dxa"/>
              <w:end w:w="120" w:type="dxa"/>
            </w:tcMar>
            <w:vAlign w:val="center"/>
          </w:tcPr>
          <w:p>
            <w:pPr>
              <w:spacing w:after="40"/>
            </w:pPr>
            <w:r>
              <w:rPr>
                <w:rFonts w:ascii="Aptos" w:hAnsi="Aptos"/>
                <w:sz w:val="17"/>
              </w:rPr>
              <w:t>Optional ecosystem assistant</w:t>
            </w:r>
          </w:p>
        </w:tc>
      </w:tr>
      <w:tr>
        <w:tc>
          <w:tcPr>
            <w:tcW w:type="dxa" w:w="2550"/>
            <w:tcMar>
              <w:top w:w="120" w:type="dxa"/>
              <w:start w:w="120" w:type="dxa"/>
              <w:bottom w:w="120" w:type="dxa"/>
              <w:end w:w="120" w:type="dxa"/>
            </w:tcMar>
            <w:vAlign w:val="center"/>
          </w:tcPr>
          <w:p>
            <w:pPr>
              <w:spacing w:after="40"/>
            </w:pPr>
            <w:r>
              <w:rPr>
                <w:rFonts w:ascii="Aptos" w:hAnsi="Aptos"/>
                <w:sz w:val="17"/>
              </w:rPr>
              <w:t>AI workflow library</w:t>
            </w:r>
          </w:p>
        </w:tc>
        <w:tc>
          <w:tcPr>
            <w:tcW w:type="dxa" w:w="2550"/>
            <w:tcMar>
              <w:top w:w="120" w:type="dxa"/>
              <w:start w:w="120" w:type="dxa"/>
              <w:bottom w:w="120" w:type="dxa"/>
              <w:end w:w="120" w:type="dxa"/>
            </w:tcMar>
            <w:vAlign w:val="center"/>
          </w:tcPr>
          <w:p>
            <w:pPr>
              <w:spacing w:after="40"/>
            </w:pPr>
            <w:r>
              <w:rPr>
                <w:rFonts w:ascii="Aptos" w:hAnsi="Aptos"/>
                <w:sz w:val="17"/>
              </w:rPr>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t>Officer/management workflows</w:t>
            </w:r>
          </w:p>
        </w:tc>
      </w:tr>
      <w:tr>
        <w:tc>
          <w:tcPr>
            <w:tcW w:type="dxa" w:w="2550"/>
            <w:tcMar>
              <w:top w:w="120" w:type="dxa"/>
              <w:start w:w="120" w:type="dxa"/>
              <w:bottom w:w="120" w:type="dxa"/>
              <w:end w:w="120" w:type="dxa"/>
            </w:tcMar>
            <w:vAlign w:val="center"/>
          </w:tcPr>
          <w:p>
            <w:pPr>
              <w:spacing w:after="40"/>
            </w:pPr>
            <w:r>
              <w:rPr>
                <w:rFonts w:ascii="Aptos" w:hAnsi="Aptos"/>
                <w:sz w:val="17"/>
              </w:rPr>
              <w:t>Training materials</w:t>
            </w:r>
          </w:p>
        </w:tc>
        <w:tc>
          <w:tcPr>
            <w:tcW w:type="dxa" w:w="2550"/>
            <w:tcMar>
              <w:top w:w="120" w:type="dxa"/>
              <w:start w:w="120" w:type="dxa"/>
              <w:bottom w:w="120" w:type="dxa"/>
              <w:end w:w="120" w:type="dxa"/>
            </w:tcMar>
            <w:vAlign w:val="center"/>
          </w:tcPr>
          <w:p>
            <w:pPr>
              <w:spacing w:after="40"/>
            </w:pPr>
            <w:r>
              <w:rPr>
                <w:rFonts w:ascii="Aptos" w:hAnsi="Aptos"/>
                <w:sz w:val="17"/>
              </w:rPr>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t>Admin/user guidance</w:t>
            </w:r>
          </w:p>
        </w:tc>
      </w:tr>
      <w:tr>
        <w:tc>
          <w:tcPr>
            <w:tcW w:type="dxa" w:w="2550"/>
            <w:tcMar>
              <w:top w:w="120" w:type="dxa"/>
              <w:start w:w="120" w:type="dxa"/>
              <w:bottom w:w="120" w:type="dxa"/>
              <w:end w:w="120" w:type="dxa"/>
            </w:tcMar>
            <w:vAlign w:val="center"/>
          </w:tcPr>
          <w:p>
            <w:pPr>
              <w:spacing w:after="40"/>
            </w:pPr>
            <w:r>
              <w:rPr>
                <w:rFonts w:ascii="Aptos" w:hAnsi="Aptos"/>
                <w:sz w:val="17"/>
              </w:rPr>
              <w:t>Dashboard</w:t>
            </w:r>
          </w:p>
        </w:tc>
        <w:tc>
          <w:tcPr>
            <w:tcW w:type="dxa" w:w="2550"/>
            <w:tcMar>
              <w:top w:w="120" w:type="dxa"/>
              <w:start w:w="120" w:type="dxa"/>
              <w:bottom w:w="120" w:type="dxa"/>
              <w:end w:w="120" w:type="dxa"/>
            </w:tcMar>
            <w:vAlign w:val="center"/>
          </w:tcPr>
          <w:p>
            <w:pPr>
              <w:spacing w:after="40"/>
            </w:pPr>
            <w:r>
              <w:rPr>
                <w:rFonts w:ascii="Aptos" w:hAnsi="Aptos"/>
                <w:sz w:val="17"/>
              </w:rPr>
              <w:t>SME dashboard</w:t>
            </w:r>
          </w:p>
        </w:tc>
        <w:tc>
          <w:tcPr>
            <w:tcW w:type="dxa" w:w="2550"/>
            <w:tcMar>
              <w:top w:w="120" w:type="dxa"/>
              <w:start w:w="120" w:type="dxa"/>
              <w:bottom w:w="120" w:type="dxa"/>
              <w:end w:w="120" w:type="dxa"/>
            </w:tcMar>
            <w:vAlign w:val="center"/>
          </w:tcPr>
          <w:p>
            <w:pPr>
              <w:spacing w:after="40"/>
            </w:pPr>
            <w:r>
              <w:rPr>
                <w:rFonts w:ascii="Aptos" w:hAnsi="Aptos"/>
                <w:sz w:val="17"/>
              </w:rPr>
              <w:t>Training examples</w:t>
            </w:r>
          </w:p>
        </w:tc>
        <w:tc>
          <w:tcPr>
            <w:tcW w:type="dxa" w:w="2550"/>
            <w:tcMar>
              <w:top w:w="120" w:type="dxa"/>
              <w:start w:w="120" w:type="dxa"/>
              <w:bottom w:w="120" w:type="dxa"/>
              <w:end w:w="120" w:type="dxa"/>
            </w:tcMar>
            <w:vAlign w:val="center"/>
          </w:tcPr>
          <w:p>
            <w:pPr>
              <w:spacing w:after="40"/>
            </w:pPr>
            <w:r>
              <w:rPr>
                <w:rFonts w:ascii="Aptos" w:hAnsi="Aptos"/>
                <w:sz w:val="17"/>
              </w:rPr>
              <w:t>Management &amp; officer dashboards</w:t>
            </w:r>
          </w:p>
        </w:tc>
      </w:tr>
      <w:tr>
        <w:tc>
          <w:tcPr>
            <w:tcW w:type="dxa" w:w="2550"/>
            <w:tcMar>
              <w:top w:w="120" w:type="dxa"/>
              <w:start w:w="120" w:type="dxa"/>
              <w:bottom w:w="120" w:type="dxa"/>
              <w:end w:w="120" w:type="dxa"/>
            </w:tcMar>
            <w:vAlign w:val="center"/>
          </w:tcPr>
          <w:p>
            <w:pPr>
              <w:spacing w:after="40"/>
            </w:pPr>
            <w:r>
              <w:rPr>
                <w:rFonts w:ascii="Aptos" w:hAnsi="Aptos"/>
                <w:sz w:val="17"/>
              </w:rPr>
              <w:t>PADU integration</w:t>
            </w:r>
          </w:p>
        </w:tc>
        <w:tc>
          <w:tcPr>
            <w:tcW w:type="dxa" w:w="2550"/>
            <w:tcMar>
              <w:top w:w="120" w:type="dxa"/>
              <w:start w:w="120" w:type="dxa"/>
              <w:bottom w:w="120" w:type="dxa"/>
              <w:end w:w="120" w:type="dxa"/>
            </w:tcMar>
            <w:vAlign w:val="center"/>
          </w:tcPr>
          <w:p>
            <w:pPr>
              <w:spacing w:after="40"/>
            </w:pPr>
            <w:r>
              <w:rPr>
                <w:rFonts w:ascii="Aptos" w:hAnsi="Aptos"/>
                <w:sz w:val="17"/>
              </w:rPr>
            </w:r>
          </w:p>
        </w:tc>
        <w:tc>
          <w:tcPr>
            <w:tcW w:type="dxa" w:w="2550"/>
            <w:tcMar>
              <w:top w:w="120" w:type="dxa"/>
              <w:start w:w="120" w:type="dxa"/>
              <w:bottom w:w="120" w:type="dxa"/>
              <w:end w:w="120" w:type="dxa"/>
            </w:tcMar>
            <w:vAlign w:val="center"/>
          </w:tcPr>
          <w:p>
            <w:pPr>
              <w:spacing w:after="40"/>
            </w:pPr>
            <w:r>
              <w:rPr>
                <w:rFonts w:ascii="Aptos" w:hAnsi="Aptos"/>
                <w:sz w:val="17"/>
              </w:rPr>
            </w:r>
          </w:p>
        </w:tc>
        <w:tc>
          <w:tcPr>
            <w:tcW w:type="dxa" w:w="2550"/>
            <w:tcMar>
              <w:top w:w="120" w:type="dxa"/>
              <w:start w:w="120" w:type="dxa"/>
              <w:bottom w:w="120" w:type="dxa"/>
              <w:end w:w="120" w:type="dxa"/>
            </w:tcMar>
            <w:vAlign w:val="center"/>
          </w:tcPr>
          <w:p>
            <w:pPr>
              <w:spacing w:after="40"/>
            </w:pPr>
            <w:r>
              <w:rPr>
                <w:rFonts w:ascii="Aptos" w:hAnsi="Aptos"/>
                <w:sz w:val="17"/>
              </w:rPr>
              <w:t>✓ subject to approved interface</w:t>
            </w:r>
          </w:p>
        </w:tc>
      </w:tr>
      <w:tr>
        <w:tc>
          <w:tcPr>
            <w:tcW w:type="dxa" w:w="2550"/>
            <w:tcMar>
              <w:top w:w="120" w:type="dxa"/>
              <w:start w:w="120" w:type="dxa"/>
              <w:bottom w:w="120" w:type="dxa"/>
              <w:end w:w="120" w:type="dxa"/>
            </w:tcMar>
            <w:vAlign w:val="center"/>
          </w:tcPr>
          <w:p>
            <w:pPr>
              <w:spacing w:after="40"/>
            </w:pPr>
            <w:r>
              <w:rPr>
                <w:rFonts w:ascii="Aptos" w:hAnsi="Aptos"/>
                <w:sz w:val="17"/>
              </w:rPr>
              <w:t>Analytics</w:t>
            </w:r>
          </w:p>
        </w:tc>
        <w:tc>
          <w:tcPr>
            <w:tcW w:type="dxa" w:w="2550"/>
            <w:tcMar>
              <w:top w:w="120" w:type="dxa"/>
              <w:start w:w="120" w:type="dxa"/>
              <w:bottom w:w="120" w:type="dxa"/>
              <w:end w:w="120" w:type="dxa"/>
            </w:tcMar>
            <w:vAlign w:val="center"/>
          </w:tcPr>
          <w:p>
            <w:pPr>
              <w:spacing w:after="40"/>
            </w:pPr>
            <w:r>
              <w:rPr>
                <w:rFonts w:ascii="Aptos" w:hAnsi="Aptos"/>
                <w:sz w:val="17"/>
              </w:rPr>
              <w:t>Basic</w:t>
            </w:r>
          </w:p>
        </w:tc>
        <w:tc>
          <w:tcPr>
            <w:tcW w:type="dxa" w:w="2550"/>
            <w:tcMar>
              <w:top w:w="120" w:type="dxa"/>
              <w:start w:w="120" w:type="dxa"/>
              <w:bottom w:w="120" w:type="dxa"/>
              <w:end w:w="120" w:type="dxa"/>
            </w:tcMar>
            <w:vAlign w:val="center"/>
          </w:tcPr>
          <w:p>
            <w:pPr>
              <w:spacing w:after="40"/>
            </w:pPr>
            <w:r>
              <w:rPr>
                <w:rFonts w:ascii="Aptos" w:hAnsi="Aptos"/>
                <w:sz w:val="17"/>
              </w:rPr>
              <w:t>Training exercises</w:t>
            </w:r>
          </w:p>
        </w:tc>
        <w:tc>
          <w:tcPr>
            <w:tcW w:type="dxa" w:w="2550"/>
            <w:tcMar>
              <w:top w:w="120" w:type="dxa"/>
              <w:start w:w="120" w:type="dxa"/>
              <w:bottom w:w="120" w:type="dxa"/>
              <w:end w:w="120" w:type="dxa"/>
            </w:tcMar>
            <w:vAlign w:val="center"/>
          </w:tcPr>
          <w:p>
            <w:pPr>
              <w:spacing w:after="40"/>
            </w:pPr>
            <w:r>
              <w:rPr>
                <w:rFonts w:ascii="Aptos" w:hAnsi="Aptos"/>
                <w:sz w:val="17"/>
              </w:rPr>
              <w:t>DuckDB analytical layer</w:t>
            </w:r>
          </w:p>
        </w:tc>
      </w:tr>
      <w:tr>
        <w:tc>
          <w:tcPr>
            <w:tcW w:type="dxa" w:w="2550"/>
            <w:tcMar>
              <w:top w:w="120" w:type="dxa"/>
              <w:start w:w="120" w:type="dxa"/>
              <w:bottom w:w="120" w:type="dxa"/>
              <w:end w:w="120" w:type="dxa"/>
            </w:tcMar>
            <w:vAlign w:val="center"/>
          </w:tcPr>
          <w:p>
            <w:pPr>
              <w:spacing w:after="40"/>
            </w:pPr>
            <w:r>
              <w:rPr>
                <w:rFonts w:ascii="Aptos" w:hAnsi="Aptos"/>
                <w:sz w:val="17"/>
              </w:rPr>
              <w:t>UAT / handover</w:t>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t>✓</w:t>
            </w:r>
          </w:p>
        </w:tc>
        <w:tc>
          <w:tcPr>
            <w:tcW w:type="dxa" w:w="2550"/>
            <w:tcMar>
              <w:top w:w="120" w:type="dxa"/>
              <w:start w:w="120" w:type="dxa"/>
              <w:bottom w:w="120" w:type="dxa"/>
              <w:end w:w="120" w:type="dxa"/>
            </w:tcMar>
            <w:vAlign w:val="center"/>
          </w:tcPr>
          <w:p>
            <w:pPr>
              <w:spacing w:after="40"/>
            </w:pPr>
            <w:r>
              <w:rPr>
                <w:rFonts w:ascii="Aptos" w:hAnsi="Aptos"/>
                <w:sz w:val="17"/>
              </w:rPr>
              <w:t>✓</w:t>
            </w:r>
          </w:p>
        </w:tc>
      </w:tr>
      <w:tr>
        <w:tc>
          <w:tcPr>
            <w:tcW w:type="dxa" w:w="2550"/>
            <w:tcMar>
              <w:top w:w="120" w:type="dxa"/>
              <w:start w:w="120" w:type="dxa"/>
              <w:bottom w:w="120" w:type="dxa"/>
              <w:end w:w="120" w:type="dxa"/>
            </w:tcMar>
            <w:vAlign w:val="center"/>
          </w:tcPr>
          <w:p>
            <w:pPr>
              <w:spacing w:after="40"/>
            </w:pPr>
            <w:r>
              <w:rPr>
                <w:rFonts w:ascii="Aptos" w:hAnsi="Aptos"/>
                <w:sz w:val="17"/>
              </w:rPr>
              <w:t>Documentation</w:t>
            </w:r>
          </w:p>
        </w:tc>
        <w:tc>
          <w:tcPr>
            <w:tcW w:type="dxa" w:w="2550"/>
            <w:tcMar>
              <w:top w:w="120" w:type="dxa"/>
              <w:start w:w="120" w:type="dxa"/>
              <w:bottom w:w="120" w:type="dxa"/>
              <w:end w:w="120" w:type="dxa"/>
            </w:tcMar>
            <w:vAlign w:val="center"/>
          </w:tcPr>
          <w:p>
            <w:pPr>
              <w:spacing w:after="40"/>
            </w:pPr>
            <w:r>
              <w:rPr>
                <w:rFonts w:ascii="Aptos" w:hAnsi="Aptos"/>
                <w:sz w:val="17"/>
              </w:rPr>
              <w:t>Admin guide</w:t>
            </w:r>
          </w:p>
        </w:tc>
        <w:tc>
          <w:tcPr>
            <w:tcW w:type="dxa" w:w="2550"/>
            <w:tcMar>
              <w:top w:w="120" w:type="dxa"/>
              <w:start w:w="120" w:type="dxa"/>
              <w:bottom w:w="120" w:type="dxa"/>
              <w:end w:w="120" w:type="dxa"/>
            </w:tcMar>
            <w:vAlign w:val="center"/>
          </w:tcPr>
          <w:p>
            <w:pPr>
              <w:spacing w:after="40"/>
            </w:pPr>
            <w:r>
              <w:rPr>
                <w:rFonts w:ascii="Aptos" w:hAnsi="Aptos"/>
                <w:sz w:val="17"/>
              </w:rPr>
              <w:t>Participant guide</w:t>
            </w:r>
          </w:p>
        </w:tc>
        <w:tc>
          <w:tcPr>
            <w:tcW w:type="dxa" w:w="2550"/>
            <w:tcMar>
              <w:top w:w="120" w:type="dxa"/>
              <w:start w:w="120" w:type="dxa"/>
              <w:bottom w:w="120" w:type="dxa"/>
              <w:end w:w="120" w:type="dxa"/>
            </w:tcMar>
            <w:vAlign w:val="center"/>
          </w:tcPr>
          <w:p>
            <w:pPr>
              <w:spacing w:after="40"/>
            </w:pPr>
            <w:r>
              <w:rPr>
                <w:rFonts w:ascii="Aptos" w:hAnsi="Aptos"/>
                <w:sz w:val="17"/>
              </w:rPr>
              <w:t>Technical + operational documentation</w:t>
            </w:r>
          </w:p>
        </w:tc>
      </w:tr>
    </w:tbl>
    <w:p>
      <w:pPr>
        <w:pStyle w:val="Heading1"/>
      </w:pPr>
      <w:r>
        <w:t>10. Measurement &amp; KPI Framework</w:t>
      </w:r>
    </w:p>
    <w:p>
      <w:r>
        <w:t>Final KPIs should be agreed during discovery. The following framework is suitable for a pilot:</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D9252A"/>
            <w:tcMar>
              <w:top w:w="120" w:type="dxa"/>
              <w:start w:w="120" w:type="dxa"/>
              <w:bottom w:w="120" w:type="dxa"/>
              <w:end w:w="120" w:type="dxa"/>
            </w:tcMar>
            <w:vAlign w:val="center"/>
          </w:tcPr>
          <w:p>
            <w:pPr>
              <w:spacing w:after="40"/>
            </w:pPr>
            <w:r>
              <w:rPr>
                <w:rFonts w:ascii="Aptos" w:hAnsi="Aptos"/>
                <w:b/>
                <w:color w:val="FFFFFF"/>
                <w:sz w:val="17"/>
              </w:rPr>
              <w:t>Area</w:t>
            </w:r>
          </w:p>
        </w:tc>
        <w:tc>
          <w:tcPr>
            <w:tcW w:type="dxa" w:w="3400"/>
            <w:shd w:fill="D9252A"/>
            <w:tcMar>
              <w:top w:w="120" w:type="dxa"/>
              <w:start w:w="120" w:type="dxa"/>
              <w:bottom w:w="120" w:type="dxa"/>
              <w:end w:w="120" w:type="dxa"/>
            </w:tcMar>
            <w:vAlign w:val="center"/>
          </w:tcPr>
          <w:p>
            <w:pPr>
              <w:spacing w:after="40"/>
            </w:pPr>
            <w:r>
              <w:rPr>
                <w:rFonts w:ascii="Aptos" w:hAnsi="Aptos"/>
                <w:b/>
                <w:color w:val="FFFFFF"/>
                <w:sz w:val="17"/>
              </w:rPr>
              <w:t>Example KPI</w:t>
            </w:r>
          </w:p>
        </w:tc>
        <w:tc>
          <w:tcPr>
            <w:tcW w:type="dxa" w:w="3400"/>
            <w:shd w:fill="D9252A"/>
            <w:tcMar>
              <w:top w:w="120" w:type="dxa"/>
              <w:start w:w="120" w:type="dxa"/>
              <w:bottom w:w="120" w:type="dxa"/>
              <w:end w:w="120" w:type="dxa"/>
            </w:tcMar>
            <w:vAlign w:val="center"/>
          </w:tcPr>
          <w:p>
            <w:pPr>
              <w:spacing w:after="40"/>
            </w:pPr>
            <w:r>
              <w:rPr>
                <w:rFonts w:ascii="Aptos" w:hAnsi="Aptos"/>
                <w:b/>
                <w:color w:val="FFFFFF"/>
                <w:sz w:val="17"/>
              </w:rPr>
              <w:t>Measurement Method</w:t>
            </w:r>
          </w:p>
        </w:tc>
      </w:tr>
      <w:tr>
        <w:tc>
          <w:tcPr>
            <w:tcW w:type="dxa" w:w="3400"/>
            <w:tcMar>
              <w:top w:w="120" w:type="dxa"/>
              <w:start w:w="120" w:type="dxa"/>
              <w:bottom w:w="120" w:type="dxa"/>
              <w:end w:w="120" w:type="dxa"/>
            </w:tcMar>
            <w:vAlign w:val="center"/>
          </w:tcPr>
          <w:p>
            <w:pPr>
              <w:spacing w:after="40"/>
            </w:pPr>
            <w:r>
              <w:rPr>
                <w:rFonts w:ascii="Aptos" w:hAnsi="Aptos"/>
                <w:sz w:val="17"/>
              </w:rPr>
              <w:t>SME Website</w:t>
            </w:r>
          </w:p>
        </w:tc>
        <w:tc>
          <w:tcPr>
            <w:tcW w:type="dxa" w:w="3400"/>
            <w:tcMar>
              <w:top w:w="120" w:type="dxa"/>
              <w:start w:w="120" w:type="dxa"/>
              <w:bottom w:w="120" w:type="dxa"/>
              <w:end w:w="120" w:type="dxa"/>
            </w:tcMar>
            <w:vAlign w:val="center"/>
          </w:tcPr>
          <w:p>
            <w:pPr>
              <w:spacing w:after="40"/>
            </w:pPr>
            <w:r>
              <w:rPr>
                <w:rFonts w:ascii="Aptos" w:hAnsi="Aptos"/>
                <w:sz w:val="17"/>
              </w:rPr>
              <w:t>Website completion, enquiry capture, content completeness</w:t>
            </w:r>
          </w:p>
        </w:tc>
        <w:tc>
          <w:tcPr>
            <w:tcW w:type="dxa" w:w="3400"/>
            <w:tcMar>
              <w:top w:w="120" w:type="dxa"/>
              <w:start w:w="120" w:type="dxa"/>
              <w:bottom w:w="120" w:type="dxa"/>
              <w:end w:w="120" w:type="dxa"/>
            </w:tcMar>
            <w:vAlign w:val="center"/>
          </w:tcPr>
          <w:p>
            <w:pPr>
              <w:spacing w:after="40"/>
            </w:pPr>
            <w:r>
              <w:rPr>
                <w:rFonts w:ascii="Aptos" w:hAnsi="Aptos"/>
                <w:sz w:val="17"/>
              </w:rPr>
              <w:t>System analytics / checklist</w:t>
            </w:r>
          </w:p>
        </w:tc>
      </w:tr>
      <w:tr>
        <w:tc>
          <w:tcPr>
            <w:tcW w:type="dxa" w:w="3400"/>
            <w:tcMar>
              <w:top w:w="120" w:type="dxa"/>
              <w:start w:w="120" w:type="dxa"/>
              <w:bottom w:w="120" w:type="dxa"/>
              <w:end w:w="120" w:type="dxa"/>
            </w:tcMar>
            <w:vAlign w:val="center"/>
          </w:tcPr>
          <w:p>
            <w:pPr>
              <w:spacing w:after="40"/>
            </w:pPr>
            <w:r>
              <w:rPr>
                <w:rFonts w:ascii="Aptos" w:hAnsi="Aptos"/>
                <w:sz w:val="17"/>
              </w:rPr>
              <w:t>AI Training</w:t>
            </w:r>
          </w:p>
        </w:tc>
        <w:tc>
          <w:tcPr>
            <w:tcW w:type="dxa" w:w="3400"/>
            <w:tcMar>
              <w:top w:w="120" w:type="dxa"/>
              <w:start w:w="120" w:type="dxa"/>
              <w:bottom w:w="120" w:type="dxa"/>
              <w:end w:w="120" w:type="dxa"/>
            </w:tcMar>
            <w:vAlign w:val="center"/>
          </w:tcPr>
          <w:p>
            <w:pPr>
              <w:spacing w:after="40"/>
            </w:pPr>
            <w:r>
              <w:rPr>
                <w:rFonts w:ascii="Aptos" w:hAnsi="Aptos"/>
                <w:sz w:val="17"/>
              </w:rPr>
              <w:t>Participant completion, working workflows, post-training adoption</w:t>
            </w:r>
          </w:p>
        </w:tc>
        <w:tc>
          <w:tcPr>
            <w:tcW w:type="dxa" w:w="3400"/>
            <w:tcMar>
              <w:top w:w="120" w:type="dxa"/>
              <w:start w:w="120" w:type="dxa"/>
              <w:bottom w:w="120" w:type="dxa"/>
              <w:end w:w="120" w:type="dxa"/>
            </w:tcMar>
            <w:vAlign w:val="center"/>
          </w:tcPr>
          <w:p>
            <w:pPr>
              <w:spacing w:after="40"/>
            </w:pPr>
            <w:r>
              <w:rPr>
                <w:rFonts w:ascii="Aptos" w:hAnsi="Aptos"/>
                <w:sz w:val="17"/>
              </w:rPr>
              <w:t>Assessment + 30/60/90-day follow-up</w:t>
            </w:r>
          </w:p>
        </w:tc>
      </w:tr>
      <w:tr>
        <w:tc>
          <w:tcPr>
            <w:tcW w:type="dxa" w:w="3400"/>
            <w:tcMar>
              <w:top w:w="120" w:type="dxa"/>
              <w:start w:w="120" w:type="dxa"/>
              <w:bottom w:w="120" w:type="dxa"/>
              <w:end w:w="120" w:type="dxa"/>
            </w:tcMar>
            <w:vAlign w:val="center"/>
          </w:tcPr>
          <w:p>
            <w:pPr>
              <w:spacing w:after="40"/>
            </w:pPr>
            <w:r>
              <w:rPr>
                <w:rFonts w:ascii="Aptos" w:hAnsi="Aptos"/>
                <w:sz w:val="17"/>
              </w:rPr>
              <w:t>Officer Productivity</w:t>
            </w:r>
          </w:p>
        </w:tc>
        <w:tc>
          <w:tcPr>
            <w:tcW w:type="dxa" w:w="3400"/>
            <w:tcMar>
              <w:top w:w="120" w:type="dxa"/>
              <w:start w:w="120" w:type="dxa"/>
              <w:bottom w:w="120" w:type="dxa"/>
              <w:end w:w="120" w:type="dxa"/>
            </w:tcMar>
            <w:vAlign w:val="center"/>
          </w:tcPr>
          <w:p>
            <w:pPr>
              <w:spacing w:after="40"/>
            </w:pPr>
            <w:r>
              <w:rPr>
                <w:rFonts w:ascii="Aptos" w:hAnsi="Aptos"/>
                <w:sz w:val="17"/>
              </w:rPr>
              <w:t>Time to prepare application summary / identify missing documents</w:t>
            </w:r>
          </w:p>
        </w:tc>
        <w:tc>
          <w:tcPr>
            <w:tcW w:type="dxa" w:w="3400"/>
            <w:tcMar>
              <w:top w:w="120" w:type="dxa"/>
              <w:start w:w="120" w:type="dxa"/>
              <w:bottom w:w="120" w:type="dxa"/>
              <w:end w:w="120" w:type="dxa"/>
            </w:tcMar>
            <w:vAlign w:val="center"/>
          </w:tcPr>
          <w:p>
            <w:pPr>
              <w:spacing w:after="40"/>
            </w:pPr>
            <w:r>
              <w:rPr>
                <w:rFonts w:ascii="Aptos" w:hAnsi="Aptos"/>
                <w:sz w:val="17"/>
              </w:rPr>
              <w:t>Before-after task timing</w:t>
            </w:r>
          </w:p>
        </w:tc>
      </w:tr>
      <w:tr>
        <w:tc>
          <w:tcPr>
            <w:tcW w:type="dxa" w:w="3400"/>
            <w:tcMar>
              <w:top w:w="120" w:type="dxa"/>
              <w:start w:w="120" w:type="dxa"/>
              <w:bottom w:w="120" w:type="dxa"/>
              <w:end w:w="120" w:type="dxa"/>
            </w:tcMar>
            <w:vAlign w:val="center"/>
          </w:tcPr>
          <w:p>
            <w:pPr>
              <w:spacing w:after="40"/>
            </w:pPr>
            <w:r>
              <w:rPr>
                <w:rFonts w:ascii="Aptos" w:hAnsi="Aptos"/>
                <w:sz w:val="17"/>
              </w:rPr>
              <w:t>Programme Operations</w:t>
            </w:r>
          </w:p>
        </w:tc>
        <w:tc>
          <w:tcPr>
            <w:tcW w:type="dxa" w:w="3400"/>
            <w:tcMar>
              <w:top w:w="120" w:type="dxa"/>
              <w:start w:w="120" w:type="dxa"/>
              <w:bottom w:w="120" w:type="dxa"/>
              <w:end w:w="120" w:type="dxa"/>
            </w:tcMar>
            <w:vAlign w:val="center"/>
          </w:tcPr>
          <w:p>
            <w:pPr>
              <w:spacing w:after="40"/>
            </w:pPr>
            <w:r>
              <w:rPr>
                <w:rFonts w:ascii="Aptos" w:hAnsi="Aptos"/>
                <w:sz w:val="17"/>
              </w:rPr>
              <w:t>Document completeness, follow-up completion, case visibility</w:t>
            </w:r>
          </w:p>
        </w:tc>
        <w:tc>
          <w:tcPr>
            <w:tcW w:type="dxa" w:w="3400"/>
            <w:tcMar>
              <w:top w:w="120" w:type="dxa"/>
              <w:start w:w="120" w:type="dxa"/>
              <w:bottom w:w="120" w:type="dxa"/>
              <w:end w:w="120" w:type="dxa"/>
            </w:tcMar>
            <w:vAlign w:val="center"/>
          </w:tcPr>
          <w:p>
            <w:pPr>
              <w:spacing w:after="40"/>
            </w:pPr>
            <w:r>
              <w:rPr>
                <w:rFonts w:ascii="Aptos" w:hAnsi="Aptos"/>
                <w:sz w:val="17"/>
              </w:rPr>
              <w:t>Workflow dashboard</w:t>
            </w:r>
          </w:p>
        </w:tc>
      </w:tr>
      <w:tr>
        <w:tc>
          <w:tcPr>
            <w:tcW w:type="dxa" w:w="3400"/>
            <w:tcMar>
              <w:top w:w="120" w:type="dxa"/>
              <w:start w:w="120" w:type="dxa"/>
              <w:bottom w:w="120" w:type="dxa"/>
              <w:end w:w="120" w:type="dxa"/>
            </w:tcMar>
            <w:vAlign w:val="center"/>
          </w:tcPr>
          <w:p>
            <w:pPr>
              <w:spacing w:after="40"/>
            </w:pPr>
            <w:r>
              <w:rPr>
                <w:rFonts w:ascii="Aptos" w:hAnsi="Aptos"/>
                <w:sz w:val="17"/>
              </w:rPr>
              <w:t>Management Intelligence</w:t>
            </w:r>
          </w:p>
        </w:tc>
        <w:tc>
          <w:tcPr>
            <w:tcW w:type="dxa" w:w="3400"/>
            <w:tcMar>
              <w:top w:w="120" w:type="dxa"/>
              <w:start w:w="120" w:type="dxa"/>
              <w:bottom w:w="120" w:type="dxa"/>
              <w:end w:w="120" w:type="dxa"/>
            </w:tcMar>
            <w:vAlign w:val="center"/>
          </w:tcPr>
          <w:p>
            <w:pPr>
              <w:spacing w:after="40"/>
            </w:pPr>
            <w:r>
              <w:rPr>
                <w:rFonts w:ascii="Aptos" w:hAnsi="Aptos"/>
                <w:sz w:val="17"/>
              </w:rPr>
              <w:t>Time to generate cross-programme report</w:t>
            </w:r>
          </w:p>
        </w:tc>
        <w:tc>
          <w:tcPr>
            <w:tcW w:type="dxa" w:w="3400"/>
            <w:tcMar>
              <w:top w:w="120" w:type="dxa"/>
              <w:start w:w="120" w:type="dxa"/>
              <w:bottom w:w="120" w:type="dxa"/>
              <w:end w:w="120" w:type="dxa"/>
            </w:tcMar>
            <w:vAlign w:val="center"/>
          </w:tcPr>
          <w:p>
            <w:pPr>
              <w:spacing w:after="40"/>
            </w:pPr>
            <w:r>
              <w:rPr>
                <w:rFonts w:ascii="Aptos" w:hAnsi="Aptos"/>
                <w:sz w:val="17"/>
              </w:rPr>
              <w:t>Before-after reporting time</w:t>
            </w:r>
          </w:p>
        </w:tc>
      </w:tr>
      <w:tr>
        <w:tc>
          <w:tcPr>
            <w:tcW w:type="dxa" w:w="3400"/>
            <w:tcMar>
              <w:top w:w="120" w:type="dxa"/>
              <w:start w:w="120" w:type="dxa"/>
              <w:bottom w:w="120" w:type="dxa"/>
              <w:end w:w="120" w:type="dxa"/>
            </w:tcMar>
            <w:vAlign w:val="center"/>
          </w:tcPr>
          <w:p>
            <w:pPr>
              <w:spacing w:after="40"/>
            </w:pPr>
            <w:r>
              <w:rPr>
                <w:rFonts w:ascii="Aptos" w:hAnsi="Aptos"/>
                <w:sz w:val="17"/>
              </w:rPr>
              <w:t>Impact</w:t>
            </w:r>
          </w:p>
        </w:tc>
        <w:tc>
          <w:tcPr>
            <w:tcW w:type="dxa" w:w="3400"/>
            <w:tcMar>
              <w:top w:w="120" w:type="dxa"/>
              <w:start w:w="120" w:type="dxa"/>
              <w:bottom w:w="120" w:type="dxa"/>
              <w:end w:w="120" w:type="dxa"/>
            </w:tcMar>
            <w:vAlign w:val="center"/>
          </w:tcPr>
          <w:p>
            <w:pPr>
              <w:spacing w:after="40"/>
            </w:pPr>
            <w:r>
              <w:rPr>
                <w:rFonts w:ascii="Aptos" w:hAnsi="Aptos"/>
                <w:sz w:val="17"/>
              </w:rPr>
              <w:t>Agreed business indicators such as digital adoption or revenue trend</w:t>
            </w:r>
          </w:p>
        </w:tc>
        <w:tc>
          <w:tcPr>
            <w:tcW w:type="dxa" w:w="3400"/>
            <w:tcMar>
              <w:top w:w="120" w:type="dxa"/>
              <w:start w:w="120" w:type="dxa"/>
              <w:bottom w:w="120" w:type="dxa"/>
              <w:end w:w="120" w:type="dxa"/>
            </w:tcMar>
            <w:vAlign w:val="center"/>
          </w:tcPr>
          <w:p>
            <w:pPr>
              <w:spacing w:after="40"/>
            </w:pPr>
            <w:r>
              <w:rPr>
                <w:rFonts w:ascii="Aptos" w:hAnsi="Aptos"/>
                <w:sz w:val="17"/>
              </w:rPr>
              <w:t>Periodic entrepreneur reporting / approved data</w:t>
            </w:r>
          </w:p>
        </w:tc>
      </w:tr>
    </w:tbl>
    <w:p>
      <w:pPr>
        <w:pStyle w:val="Heading1"/>
      </w:pPr>
      <w:r>
        <w:t>11. Governance, Security &amp; PDPA</w:t>
      </w:r>
    </w:p>
    <w:p>
      <w:r>
        <w:t>Because Package 03 may process entrepreneur and programme information, governance must be designed before production integration. The proposal assumes data minimisation, permission-based access and controlled processing.</w:t>
      </w:r>
    </w:p>
    <w:p>
      <w:pPr>
        <w:pStyle w:val="ListBullet"/>
      </w:pPr>
      <w:r>
        <w:t>Define data ownership and controller/processor responsibilities.</w:t>
      </w:r>
    </w:p>
    <w:p>
      <w:pPr>
        <w:pStyle w:val="ListBullet"/>
      </w:pPr>
      <w:r>
        <w:t>Use approved integration methods rather than ad-hoc direct database access.</w:t>
      </w:r>
    </w:p>
    <w:p>
      <w:pPr>
        <w:pStyle w:val="ListBullet"/>
      </w:pPr>
      <w:r>
        <w:t>Classify data by sensitivity and role.</w:t>
      </w:r>
    </w:p>
    <w:p>
      <w:pPr>
        <w:pStyle w:val="ListBullet"/>
      </w:pPr>
      <w:r>
        <w:t>Encrypt data in transit and at rest where applicable.</w:t>
      </w:r>
    </w:p>
    <w:p>
      <w:pPr>
        <w:pStyle w:val="ListBullet"/>
      </w:pPr>
      <w:r>
        <w:t>Apply retention and deletion rules.</w:t>
      </w:r>
    </w:p>
    <w:p>
      <w:pPr>
        <w:pStyle w:val="ListBullet"/>
      </w:pPr>
      <w:r>
        <w:t>Log access to sensitive records and administrative actions.</w:t>
      </w:r>
    </w:p>
    <w:p>
      <w:pPr>
        <w:pStyle w:val="ListBullet"/>
      </w:pPr>
      <w:r>
        <w:t>Require human review for official decisions, grants, eligibility and enforcement.</w:t>
      </w:r>
    </w:p>
    <w:p>
      <w:pPr>
        <w:pStyle w:val="ListBullet"/>
      </w:pPr>
      <w:r>
        <w:t>Use synthetic data in demos unless PUJB authorises real records.</w:t>
      </w:r>
    </w:p>
    <w:p>
      <w:pPr>
        <w:pStyle w:val="ListBullet"/>
      </w:pPr>
      <w:r>
        <w:t>Conduct security review and UAT before production deployment.</w:t>
      </w:r>
    </w:p>
    <w:p>
      <w:r>
        <w:br w:type="page"/>
      </w:r>
    </w:p>
    <w:p>
      <w:pPr>
        <w:pStyle w:val="Heading1"/>
      </w:pPr>
      <w:r>
        <w:t>12. Commercial Structure</w:t>
      </w:r>
    </w:p>
    <w:p>
      <w:r>
        <w:t>Commercial pricing should be finalised only after PUJB confirms cohort size, website scope, training duration, integration depth, infrastructure preference, security requirements and support period. This prevents under-scoping the Agentic AI integration or overpricing a pilot.</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Package</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Commercial Unit</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Variables</w:t>
            </w:r>
          </w:p>
        </w:tc>
        <w:tc>
          <w:tcPr>
            <w:tcW w:type="dxa" w:w="2550"/>
            <w:shd w:fill="123A78"/>
            <w:tcMar>
              <w:top w:w="120" w:type="dxa"/>
              <w:start w:w="120" w:type="dxa"/>
              <w:bottom w:w="120" w:type="dxa"/>
              <w:end w:w="120" w:type="dxa"/>
            </w:tcMar>
            <w:vAlign w:val="center"/>
          </w:tcPr>
          <w:p>
            <w:pPr>
              <w:spacing w:after="40"/>
            </w:pPr>
            <w:r>
              <w:rPr>
                <w:rFonts w:ascii="Aptos" w:hAnsi="Aptos"/>
                <w:b/>
                <w:color w:val="FFFFFF"/>
                <w:sz w:val="17"/>
              </w:rPr>
              <w:t>Status</w:t>
            </w:r>
          </w:p>
        </w:tc>
      </w:tr>
      <w:tr>
        <w:tc>
          <w:tcPr>
            <w:tcW w:type="dxa" w:w="2550"/>
            <w:tcMar>
              <w:top w:w="120" w:type="dxa"/>
              <w:start w:w="120" w:type="dxa"/>
              <w:bottom w:w="120" w:type="dxa"/>
              <w:end w:w="120" w:type="dxa"/>
            </w:tcMar>
            <w:vAlign w:val="center"/>
          </w:tcPr>
          <w:p>
            <w:pPr>
              <w:spacing w:after="40"/>
            </w:pPr>
            <w:r>
              <w:rPr>
                <w:rFonts w:ascii="Aptos" w:hAnsi="Aptos"/>
                <w:sz w:val="17"/>
              </w:rPr>
              <w:t>01 — SME AI Website</w:t>
            </w:r>
          </w:p>
        </w:tc>
        <w:tc>
          <w:tcPr>
            <w:tcW w:type="dxa" w:w="2550"/>
            <w:tcMar>
              <w:top w:w="120" w:type="dxa"/>
              <w:start w:w="120" w:type="dxa"/>
              <w:bottom w:w="120" w:type="dxa"/>
              <w:end w:w="120" w:type="dxa"/>
            </w:tcMar>
            <w:vAlign w:val="center"/>
          </w:tcPr>
          <w:p>
            <w:pPr>
              <w:spacing w:after="40"/>
            </w:pPr>
            <w:r>
              <w:rPr>
                <w:rFonts w:ascii="Aptos" w:hAnsi="Aptos"/>
                <w:sz w:val="17"/>
              </w:rPr>
              <w:t>Per SME / cohort</w:t>
            </w:r>
          </w:p>
        </w:tc>
        <w:tc>
          <w:tcPr>
            <w:tcW w:type="dxa" w:w="2550"/>
            <w:tcMar>
              <w:top w:w="120" w:type="dxa"/>
              <w:start w:w="120" w:type="dxa"/>
              <w:bottom w:w="120" w:type="dxa"/>
              <w:end w:w="120" w:type="dxa"/>
            </w:tcMar>
            <w:vAlign w:val="center"/>
          </w:tcPr>
          <w:p>
            <w:pPr>
              <w:spacing w:after="40"/>
            </w:pPr>
            <w:r>
              <w:rPr>
                <w:rFonts w:ascii="Aptos" w:hAnsi="Aptos"/>
                <w:sz w:val="17"/>
              </w:rPr>
              <w:t>Page scope, ecommerce, integrations, domain</w:t>
            </w:r>
          </w:p>
        </w:tc>
        <w:tc>
          <w:tcPr>
            <w:tcW w:type="dxa" w:w="2550"/>
            <w:tcMar>
              <w:top w:w="120" w:type="dxa"/>
              <w:start w:w="120" w:type="dxa"/>
              <w:bottom w:w="120" w:type="dxa"/>
              <w:end w:w="120" w:type="dxa"/>
            </w:tcMar>
            <w:vAlign w:val="center"/>
          </w:tcPr>
          <w:p>
            <w:pPr>
              <w:spacing w:after="40"/>
            </w:pPr>
            <w:r>
              <w:rPr>
                <w:rFonts w:ascii="Aptos" w:hAnsi="Aptos"/>
                <w:sz w:val="17"/>
              </w:rPr>
              <w:t>To be agreed</w:t>
            </w:r>
          </w:p>
        </w:tc>
      </w:tr>
      <w:tr>
        <w:tc>
          <w:tcPr>
            <w:tcW w:type="dxa" w:w="2550"/>
            <w:tcMar>
              <w:top w:w="120" w:type="dxa"/>
              <w:start w:w="120" w:type="dxa"/>
              <w:bottom w:w="120" w:type="dxa"/>
              <w:end w:w="120" w:type="dxa"/>
            </w:tcMar>
            <w:vAlign w:val="center"/>
          </w:tcPr>
          <w:p>
            <w:pPr>
              <w:spacing w:after="40"/>
            </w:pPr>
            <w:r>
              <w:rPr>
                <w:rFonts w:ascii="Aptos" w:hAnsi="Aptos"/>
                <w:sz w:val="17"/>
              </w:rPr>
              <w:t>02 — AI Capability Training</w:t>
            </w:r>
          </w:p>
        </w:tc>
        <w:tc>
          <w:tcPr>
            <w:tcW w:type="dxa" w:w="2550"/>
            <w:tcMar>
              <w:top w:w="120" w:type="dxa"/>
              <w:start w:w="120" w:type="dxa"/>
              <w:bottom w:w="120" w:type="dxa"/>
              <w:end w:w="120" w:type="dxa"/>
            </w:tcMar>
            <w:vAlign w:val="center"/>
          </w:tcPr>
          <w:p>
            <w:pPr>
              <w:spacing w:after="40"/>
            </w:pPr>
            <w:r>
              <w:rPr>
                <w:rFonts w:ascii="Aptos" w:hAnsi="Aptos"/>
                <w:sz w:val="17"/>
              </w:rPr>
              <w:t>Per company / cohort</w:t>
            </w:r>
          </w:p>
        </w:tc>
        <w:tc>
          <w:tcPr>
            <w:tcW w:type="dxa" w:w="2550"/>
            <w:tcMar>
              <w:top w:w="120" w:type="dxa"/>
              <w:start w:w="120" w:type="dxa"/>
              <w:bottom w:w="120" w:type="dxa"/>
              <w:end w:w="120" w:type="dxa"/>
            </w:tcMar>
            <w:vAlign w:val="center"/>
          </w:tcPr>
          <w:p>
            <w:pPr>
              <w:spacing w:after="40"/>
            </w:pPr>
            <w:r>
              <w:rPr>
                <w:rFonts w:ascii="Aptos" w:hAnsi="Aptos"/>
                <w:sz w:val="17"/>
              </w:rPr>
              <w:t>Days, participants, venue, infrastructure, trainer ratio</w:t>
            </w:r>
          </w:p>
        </w:tc>
        <w:tc>
          <w:tcPr>
            <w:tcW w:type="dxa" w:w="2550"/>
            <w:tcMar>
              <w:top w:w="120" w:type="dxa"/>
              <w:start w:w="120" w:type="dxa"/>
              <w:bottom w:w="120" w:type="dxa"/>
              <w:end w:w="120" w:type="dxa"/>
            </w:tcMar>
            <w:vAlign w:val="center"/>
          </w:tcPr>
          <w:p>
            <w:pPr>
              <w:spacing w:after="40"/>
            </w:pPr>
            <w:r>
              <w:rPr>
                <w:rFonts w:ascii="Aptos" w:hAnsi="Aptos"/>
                <w:sz w:val="17"/>
              </w:rPr>
              <w:t>To be agreed</w:t>
            </w:r>
          </w:p>
        </w:tc>
      </w:tr>
      <w:tr>
        <w:tc>
          <w:tcPr>
            <w:tcW w:type="dxa" w:w="2550"/>
            <w:tcMar>
              <w:top w:w="120" w:type="dxa"/>
              <w:start w:w="120" w:type="dxa"/>
              <w:bottom w:w="120" w:type="dxa"/>
              <w:end w:w="120" w:type="dxa"/>
            </w:tcMar>
            <w:vAlign w:val="center"/>
          </w:tcPr>
          <w:p>
            <w:pPr>
              <w:spacing w:after="40"/>
            </w:pPr>
            <w:r>
              <w:rPr>
                <w:rFonts w:ascii="Aptos" w:hAnsi="Aptos"/>
                <w:sz w:val="17"/>
              </w:rPr>
              <w:t>03 — PUJB Agentic AI System</w:t>
            </w:r>
          </w:p>
        </w:tc>
        <w:tc>
          <w:tcPr>
            <w:tcW w:type="dxa" w:w="2550"/>
            <w:tcMar>
              <w:top w:w="120" w:type="dxa"/>
              <w:start w:w="120" w:type="dxa"/>
              <w:bottom w:w="120" w:type="dxa"/>
              <w:end w:w="120" w:type="dxa"/>
            </w:tcMar>
            <w:vAlign w:val="center"/>
          </w:tcPr>
          <w:p>
            <w:pPr>
              <w:spacing w:after="40"/>
            </w:pPr>
            <w:r>
              <w:rPr>
                <w:rFonts w:ascii="Aptos" w:hAnsi="Aptos"/>
                <w:sz w:val="17"/>
              </w:rPr>
              <w:t>Pilot + implementation + support</w:t>
            </w:r>
          </w:p>
        </w:tc>
        <w:tc>
          <w:tcPr>
            <w:tcW w:type="dxa" w:w="2550"/>
            <w:tcMar>
              <w:top w:w="120" w:type="dxa"/>
              <w:start w:w="120" w:type="dxa"/>
              <w:bottom w:w="120" w:type="dxa"/>
              <w:end w:w="120" w:type="dxa"/>
            </w:tcMar>
            <w:vAlign w:val="center"/>
          </w:tcPr>
          <w:p>
            <w:pPr>
              <w:spacing w:after="40"/>
            </w:pPr>
            <w:r>
              <w:rPr>
                <w:rFonts w:ascii="Aptos" w:hAnsi="Aptos"/>
                <w:sz w:val="17"/>
              </w:rPr>
              <w:t>PADU interface, modules, users, security, hosting</w:t>
            </w:r>
          </w:p>
        </w:tc>
        <w:tc>
          <w:tcPr>
            <w:tcW w:type="dxa" w:w="2550"/>
            <w:tcMar>
              <w:top w:w="120" w:type="dxa"/>
              <w:start w:w="120" w:type="dxa"/>
              <w:bottom w:w="120" w:type="dxa"/>
              <w:end w:w="120" w:type="dxa"/>
            </w:tcMar>
            <w:vAlign w:val="center"/>
          </w:tcPr>
          <w:p>
            <w:pPr>
              <w:spacing w:after="40"/>
            </w:pPr>
            <w:r>
              <w:rPr>
                <w:rFonts w:ascii="Aptos" w:hAnsi="Aptos"/>
                <w:sz w:val="17"/>
              </w:rPr>
              <w:t>Discovery required</w:t>
            </w:r>
          </w:p>
        </w:tc>
      </w:tr>
    </w:tbl>
    <w:p>
      <w:r>
        <w:rPr>
          <w:b/>
          <w:color w:val="D9252A"/>
        </w:rPr>
        <w:t xml:space="preserve">Recommended commercial approach: </w:t>
      </w:r>
      <w:r>
        <w:t>begin with an agreed discovery/pilot scope, validate measurable outcomes, then issue the production commercial proposal based on confirmed integration and scale.</w:t>
      </w:r>
    </w:p>
    <w:p>
      <w:pPr>
        <w:pStyle w:val="Heading1"/>
      </w:pPr>
      <w:r>
        <w:t>13. Proposed Roles &amp; Responsibilities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123A78"/>
            <w:tcMar>
              <w:top w:w="120" w:type="dxa"/>
              <w:start w:w="120" w:type="dxa"/>
              <w:bottom w:w="120" w:type="dxa"/>
              <w:end w:w="120" w:type="dxa"/>
            </w:tcMar>
            <w:vAlign w:val="center"/>
          </w:tcPr>
          <w:p>
            <w:pPr>
              <w:spacing w:after="40"/>
            </w:pPr>
            <w:r>
              <w:rPr>
                <w:rFonts w:ascii="Aptos" w:hAnsi="Aptos"/>
                <w:b/>
                <w:color w:val="FFFFFF"/>
                <w:sz w:val="17"/>
              </w:rPr>
              <w:t>Party</w:t>
            </w:r>
          </w:p>
        </w:tc>
        <w:tc>
          <w:tcPr>
            <w:tcW w:type="dxa" w:w="3400"/>
            <w:shd w:fill="123A78"/>
            <w:tcMar>
              <w:top w:w="120" w:type="dxa"/>
              <w:start w:w="120" w:type="dxa"/>
              <w:bottom w:w="120" w:type="dxa"/>
              <w:end w:w="120" w:type="dxa"/>
            </w:tcMar>
            <w:vAlign w:val="center"/>
          </w:tcPr>
          <w:p>
            <w:pPr>
              <w:spacing w:after="40"/>
            </w:pPr>
            <w:r>
              <w:rPr>
                <w:rFonts w:ascii="Aptos" w:hAnsi="Aptos"/>
                <w:b/>
                <w:color w:val="FFFFFF"/>
                <w:sz w:val="17"/>
              </w:rPr>
              <w:t>Primary Responsibility</w:t>
            </w:r>
          </w:p>
        </w:tc>
        <w:tc>
          <w:tcPr>
            <w:tcW w:type="dxa" w:w="3400"/>
            <w:shd w:fill="123A78"/>
            <w:tcMar>
              <w:top w:w="120" w:type="dxa"/>
              <w:start w:w="120" w:type="dxa"/>
              <w:bottom w:w="120" w:type="dxa"/>
              <w:end w:w="120" w:type="dxa"/>
            </w:tcMar>
            <w:vAlign w:val="center"/>
          </w:tcPr>
          <w:p>
            <w:pPr>
              <w:spacing w:after="40"/>
            </w:pPr>
            <w:r>
              <w:rPr>
                <w:rFonts w:ascii="Aptos" w:hAnsi="Aptos"/>
                <w:b/>
                <w:color w:val="FFFFFF"/>
                <w:sz w:val="17"/>
              </w:rPr>
              <w:t>Examples</w:t>
            </w:r>
          </w:p>
        </w:tc>
      </w:tr>
      <w:tr>
        <w:tc>
          <w:tcPr>
            <w:tcW w:type="dxa" w:w="3400"/>
            <w:tcMar>
              <w:top w:w="120" w:type="dxa"/>
              <w:start w:w="120" w:type="dxa"/>
              <w:bottom w:w="120" w:type="dxa"/>
              <w:end w:w="120" w:type="dxa"/>
            </w:tcMar>
            <w:vAlign w:val="center"/>
          </w:tcPr>
          <w:p>
            <w:pPr>
              <w:spacing w:after="40"/>
            </w:pPr>
            <w:r>
              <w:rPr>
                <w:rFonts w:ascii="Aptos" w:hAnsi="Aptos"/>
                <w:sz w:val="17"/>
              </w:rPr>
              <w:t>PUJB</w:t>
            </w:r>
          </w:p>
        </w:tc>
        <w:tc>
          <w:tcPr>
            <w:tcW w:type="dxa" w:w="3400"/>
            <w:tcMar>
              <w:top w:w="120" w:type="dxa"/>
              <w:start w:w="120" w:type="dxa"/>
              <w:bottom w:w="120" w:type="dxa"/>
              <w:end w:w="120" w:type="dxa"/>
            </w:tcMar>
            <w:vAlign w:val="center"/>
          </w:tcPr>
          <w:p>
            <w:pPr>
              <w:spacing w:after="40"/>
            </w:pPr>
            <w:r>
              <w:rPr>
                <w:rFonts w:ascii="Aptos" w:hAnsi="Aptos"/>
                <w:sz w:val="17"/>
              </w:rPr>
              <w:t>Programme ownership, policy, access approval, UAT, participant coordination</w:t>
            </w:r>
          </w:p>
        </w:tc>
        <w:tc>
          <w:tcPr>
            <w:tcW w:type="dxa" w:w="3400"/>
            <w:tcMar>
              <w:top w:w="120" w:type="dxa"/>
              <w:start w:w="120" w:type="dxa"/>
              <w:bottom w:w="120" w:type="dxa"/>
              <w:end w:w="120" w:type="dxa"/>
            </w:tcMar>
            <w:vAlign w:val="center"/>
          </w:tcPr>
          <w:p>
            <w:pPr>
              <w:spacing w:after="40"/>
            </w:pPr>
            <w:r>
              <w:rPr>
                <w:rFonts w:ascii="Aptos" w:hAnsi="Aptos"/>
                <w:sz w:val="17"/>
              </w:rPr>
              <w:t>Programme rules, PADU interface approval, officer feedback</w:t>
            </w:r>
          </w:p>
        </w:tc>
      </w:tr>
      <w:tr>
        <w:tc>
          <w:tcPr>
            <w:tcW w:type="dxa" w:w="3400"/>
            <w:tcMar>
              <w:top w:w="120" w:type="dxa"/>
              <w:start w:w="120" w:type="dxa"/>
              <w:bottom w:w="120" w:type="dxa"/>
              <w:end w:w="120" w:type="dxa"/>
            </w:tcMar>
            <w:vAlign w:val="center"/>
          </w:tcPr>
          <w:p>
            <w:pPr>
              <w:spacing w:after="40"/>
            </w:pPr>
            <w:r>
              <w:rPr>
                <w:rFonts w:ascii="Aptos" w:hAnsi="Aptos"/>
                <w:sz w:val="17"/>
              </w:rPr>
              <w:t>AINNA</w:t>
            </w:r>
          </w:p>
        </w:tc>
        <w:tc>
          <w:tcPr>
            <w:tcW w:type="dxa" w:w="3400"/>
            <w:tcMar>
              <w:top w:w="120" w:type="dxa"/>
              <w:start w:w="120" w:type="dxa"/>
              <w:bottom w:w="120" w:type="dxa"/>
              <w:end w:w="120" w:type="dxa"/>
            </w:tcMar>
            <w:vAlign w:val="center"/>
          </w:tcPr>
          <w:p>
            <w:pPr>
              <w:spacing w:after="40"/>
            </w:pPr>
            <w:r>
              <w:rPr>
                <w:rFonts w:ascii="Aptos" w:hAnsi="Aptos"/>
                <w:sz w:val="17"/>
              </w:rPr>
              <w:t>Solution design, development, training, AI workflows, documentation</w:t>
            </w:r>
          </w:p>
        </w:tc>
        <w:tc>
          <w:tcPr>
            <w:tcW w:type="dxa" w:w="3400"/>
            <w:tcMar>
              <w:top w:w="120" w:type="dxa"/>
              <w:start w:w="120" w:type="dxa"/>
              <w:bottom w:w="120" w:type="dxa"/>
              <w:end w:w="120" w:type="dxa"/>
            </w:tcMar>
            <w:vAlign w:val="center"/>
          </w:tcPr>
          <w:p>
            <w:pPr>
              <w:spacing w:after="40"/>
            </w:pPr>
            <w:r>
              <w:rPr>
                <w:rFonts w:ascii="Aptos" w:hAnsi="Aptos"/>
                <w:sz w:val="17"/>
              </w:rPr>
              <w:t>Laravel system, analytics, AI orchestration, SME training</w:t>
            </w:r>
          </w:p>
        </w:tc>
      </w:tr>
      <w:tr>
        <w:tc>
          <w:tcPr>
            <w:tcW w:type="dxa" w:w="3400"/>
            <w:tcMar>
              <w:top w:w="120" w:type="dxa"/>
              <w:start w:w="120" w:type="dxa"/>
              <w:bottom w:w="120" w:type="dxa"/>
              <w:end w:w="120" w:type="dxa"/>
            </w:tcMar>
            <w:vAlign w:val="center"/>
          </w:tcPr>
          <w:p>
            <w:pPr>
              <w:spacing w:after="40"/>
            </w:pPr>
            <w:r>
              <w:rPr>
                <w:rFonts w:ascii="Aptos" w:hAnsi="Aptos"/>
                <w:sz w:val="17"/>
              </w:rPr>
              <w:t>SME Participants</w:t>
            </w:r>
          </w:p>
        </w:tc>
        <w:tc>
          <w:tcPr>
            <w:tcW w:type="dxa" w:w="3400"/>
            <w:tcMar>
              <w:top w:w="120" w:type="dxa"/>
              <w:start w:w="120" w:type="dxa"/>
              <w:bottom w:w="120" w:type="dxa"/>
              <w:end w:w="120" w:type="dxa"/>
            </w:tcMar>
            <w:vAlign w:val="center"/>
          </w:tcPr>
          <w:p>
            <w:pPr>
              <w:spacing w:after="40"/>
            </w:pPr>
            <w:r>
              <w:rPr>
                <w:rFonts w:ascii="Aptos" w:hAnsi="Aptos"/>
                <w:sz w:val="17"/>
              </w:rPr>
              <w:t>Provide business content, attend training, test workflows, maintain approved business data</w:t>
            </w:r>
          </w:p>
        </w:tc>
        <w:tc>
          <w:tcPr>
            <w:tcW w:type="dxa" w:w="3400"/>
            <w:tcMar>
              <w:top w:w="120" w:type="dxa"/>
              <w:start w:w="120" w:type="dxa"/>
              <w:bottom w:w="120" w:type="dxa"/>
              <w:end w:w="120" w:type="dxa"/>
            </w:tcMar>
            <w:vAlign w:val="center"/>
          </w:tcPr>
          <w:p>
            <w:pPr>
              <w:spacing w:after="40"/>
            </w:pPr>
            <w:r>
              <w:rPr>
                <w:rFonts w:ascii="Aptos" w:hAnsi="Aptos"/>
                <w:sz w:val="17"/>
              </w:rPr>
              <w:t>Website content, workflow testing, feedback</w:t>
            </w:r>
          </w:p>
        </w:tc>
      </w:tr>
    </w:tbl>
    <w:p>
      <w:pPr>
        <w:pStyle w:val="Heading1"/>
      </w:pPr>
      <w:r>
        <w:t>14. Why AINNA</w:t>
      </w:r>
    </w:p>
    <w:p>
      <w:r>
        <w:t>AINNA’s approach is based on integrating practical SME operations with lightweight AI infrastructure rather than treating AI as a standalone chatbot. The proposed programme combines web development, operational dashboards, finance-processing concepts, automation, Agentic AI and training under one implementation model.</w:t>
      </w:r>
    </w:p>
    <w:p>
      <w:pPr>
        <w:pStyle w:val="ListBullet"/>
      </w:pPr>
      <w:r>
        <w:t>Experience building SME-oriented AI and operational demos across finance, ecommerce, inventory, HR, content and analytics.</w:t>
      </w:r>
    </w:p>
    <w:p>
      <w:pPr>
        <w:pStyle w:val="ListBullet"/>
      </w:pPr>
      <w:r>
        <w:t>NeuralOps approach: use the right model/tool for the task, isolate systems where appropriate and keep operational cost controlled.</w:t>
      </w:r>
    </w:p>
    <w:p>
      <w:pPr>
        <w:pStyle w:val="ListBullet"/>
      </w:pPr>
      <w:r>
        <w:t>Human-in-the-loop design for consequential actions.</w:t>
      </w:r>
    </w:p>
    <w:p>
      <w:pPr>
        <w:pStyle w:val="ListBullet"/>
      </w:pPr>
      <w:r>
        <w:t>Ability to deliver both SME-facing capability programmes and institution-facing technology.</w:t>
      </w:r>
    </w:p>
    <w:p>
      <w:pPr>
        <w:pStyle w:val="ListBullet"/>
      </w:pPr>
      <w:r>
        <w:t>Modular architecture that can start as a pilot and expand without requiring a full system replacement.</w:t>
      </w:r>
    </w:p>
    <w:p>
      <w:pPr>
        <w:pStyle w:val="Heading1"/>
      </w:pPr>
      <w:r>
        <w:t>15. Proposed Next Steps</w:t>
      </w:r>
    </w:p>
    <w:p>
      <w:pPr>
        <w:pStyle w:val="ListNumber"/>
      </w:pPr>
      <w:r>
        <w:t>PUJB confirms interest in the three-package programme concept.</w:t>
      </w:r>
    </w:p>
    <w:p>
      <w:pPr>
        <w:pStyle w:val="ListNumber"/>
      </w:pPr>
      <w:r>
        <w:t>Conduct a focused discovery session covering SME target group, PADU boundaries and programme priorities.</w:t>
      </w:r>
    </w:p>
    <w:p>
      <w:pPr>
        <w:pStyle w:val="ListNumber"/>
      </w:pPr>
      <w:r>
        <w:t>Select pilot cohort and one or two PUJB programme workflows.</w:t>
      </w:r>
    </w:p>
    <w:p>
      <w:pPr>
        <w:pStyle w:val="ListNumber"/>
      </w:pPr>
      <w:r>
        <w:t>Finalise technical scope, KPI, commercial terms and implementation calendar.</w:t>
      </w:r>
    </w:p>
    <w:p>
      <w:pPr>
        <w:pStyle w:val="ListNumber"/>
      </w:pPr>
      <w:r>
        <w:t>Run pilot, UAT and measurable outcome review.</w:t>
      </w:r>
    </w:p>
    <w:p>
      <w:pPr>
        <w:pStyle w:val="ListNumber"/>
      </w:pPr>
      <w:r>
        <w:t>Prepare scale-up plan for additional programmes, districts or SME cohorts.</w:t>
      </w:r>
    </w:p>
    <w:p>
      <w:r>
        <w:br w:type="page"/>
      </w:r>
    </w:p>
    <w:p>
      <w:pPr>
        <w:pStyle w:val="Heading1"/>
      </w:pPr>
      <w:r>
        <w:t>16. Closing</w:t>
      </w:r>
    </w:p>
    <w:p>
      <w:pPr>
        <w:jc w:val="center"/>
      </w:pPr>
      <w:r>
        <w:rPr>
          <w:b/>
          <w:color w:val="123A78"/>
          <w:sz w:val="36"/>
        </w:rPr>
        <w:t>BUILD CAPABILITY. BUILD DIGITAL ASSETS. BUILD INTELLIGENCE.</w:t>
      </w:r>
    </w:p>
    <w:p>
      <w:pPr>
        <w:jc w:val="center"/>
      </w:pPr>
      <w:r>
        <w:t>The proposal is designed to give PUJB a practical path from AI awareness to measurable SME transformation: participating businesses gain AI capability and a modern digital platform, while PUJB gains an intelligence layer that can strengthen monitoring, follow-up and decision support around the existing PADU ecosystem.</w:t>
      </w:r>
    </w:p>
    <w:p>
      <w:pPr>
        <w:pStyle w:val="Heading2"/>
      </w:pPr>
      <w:r>
        <w:t>Reference Context</w:t>
      </w:r>
    </w:p>
    <w:p>
      <w:pPr>
        <w:pStyle w:val="ListBullet"/>
      </w:pPr>
      <w:r>
        <w:t>PUJB official website: https://www.pujb.my/</w:t>
      </w:r>
    </w:p>
    <w:p>
      <w:pPr>
        <w:pStyle w:val="ListBullet"/>
      </w:pPr>
      <w:r>
        <w:t>PADU sign-in: https://padu.pujb.my/Account/SignIn</w:t>
      </w:r>
    </w:p>
    <w:p>
      <w:pPr>
        <w:pStyle w:val="ListBullet"/>
      </w:pPr>
      <w:r>
        <w:t>PUJB MPUNJ page: https://www.pujb.my/mpunj/</w:t>
      </w:r>
    </w:p>
    <w:p>
      <w:pPr>
        <w:pStyle w:val="ListBullet"/>
      </w:pPr>
      <w:r>
        <w:t>PUJB programme pages and public manuals referenced during proposal research.</w:t>
      </w:r>
    </w:p>
    <w:p>
      <w:pPr>
        <w:pStyle w:val="ListBullet"/>
      </w:pPr>
      <w:r>
        <w:t>AINNA technical demo architecture: PUJB PADU + Agentic AI / NeuralOps demonstration prepared for this proposal.</w:t>
      </w:r>
    </w:p>
    <w:p>
      <w:pPr>
        <w:jc w:val="center"/>
      </w:pPr>
      <w:r>
        <w:br/>
        <w:t>Prepared by Ainna Need Enterprise (AINNA)</w:t>
      </w:r>
      <w:r>
        <w:rPr>
          <w:i/>
        </w:rPr>
        <w:br/>
        <w:t>For discussion with Perbadanan Usahawan Johor Sdn Bhd (PUJB)</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85"/>
        <w:sz w:val="14"/>
      </w:rPr>
      <w:t xml:space="preserve">CONFIDENTIAL PROPOSAL  •  27 SEPTEMBER 2026  •  </w:t>
    </w:r>
    <w:r>
      <w:rPr>
        <w:color w:val="667085"/>
        <w:sz w:val="14"/>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67085"/>
        <w:sz w:val="15"/>
      </w:rPr>
      <w:t>PUJB × AINNA  |  SME AI TRANSFORMATION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22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23A78"/>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D9252A"/>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1220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23A7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ptos" w:hAnsi="Aptos"/>
      <w:b/>
      <w:color w:val="D9252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PUJB × AINNA SME AI Transformation Programme</dc:title>
  <dc:subject>Three-package proposal: SME AI Website, AI Capability Training, PUJB Agentic AI System</dc:subject>
  <dc:creator>Ainna Need Enterprise (AINNA)</dc:creator>
  <cp:keywords/>
  <dc:description>generated by python-docx</dc:description>
  <cp:lastModifiedBy/>
  <cp:revision>1</cp:revision>
  <dcterms:created xsi:type="dcterms:W3CDTF">2013-12-23T23:15:00Z</dcterms:created>
  <dcterms:modified xsi:type="dcterms:W3CDTF">2013-12-23T23:15:00Z</dcterms:modified>
  <cp:category/>
</cp:coreProperties>
</file>