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D9252A"/>
          <w:sz w:val="18"/>
        </w:rPr>
        <w:t>EXECUTIVE SUMMARY</w:t>
      </w:r>
    </w:p>
    <w:p>
      <w:pPr>
        <w:jc w:val="center"/>
      </w:pPr>
      <w:r>
        <w:rPr>
          <w:b/>
          <w:color w:val="123A78"/>
          <w:sz w:val="44"/>
        </w:rPr>
        <w:t>PUJB × AINNA SME AI Transformation Programme</w:t>
      </w:r>
    </w:p>
    <w:p>
      <w:pPr>
        <w:jc w:val="center"/>
      </w:pPr>
      <w:r>
        <w:rPr>
          <w:i/>
          <w:color w:val="D9252A"/>
          <w:sz w:val="23"/>
        </w:rPr>
        <w:t>From AI Training to an AI-Powered Entrepreneur Ecosystem</w:t>
      </w:r>
    </w:p>
    <w:p>
      <w:pPr>
        <w:jc w:val="both"/>
      </w:pPr>
      <w:r>
        <w:t>AINNA mencadangkan satu program transformasi AI bersepadu untuk PUJB yang menghubungkan pembangunan keupayaan SME, pembinaan digital asset dan intelligence di peringkat agensi. Pendekatan ini direka untuk melengkapkan ekosistem digital PUJB sedia ada, bukan menggantikannya.</w:t>
      </w:r>
    </w:p>
    <w:tbl>
      <w:tblPr>
        <w:tblW w:type="auto" w:w="0"/>
        <w:jc w:val="center"/>
        <w:tblLayout w:type="fixed"/>
        <w:tblLook w:firstColumn="1" w:firstRow="1" w:lastColumn="0" w:lastRow="0" w:noHBand="0" w:noVBand="1" w:val="04A0"/>
      </w:tblPr>
      <w:tblGrid>
        <w:gridCol w:w="2976"/>
        <w:gridCol w:w="2976"/>
        <w:gridCol w:w="2976"/>
      </w:tblGrid>
      <w:tr>
        <w:tc>
          <w:tcPr>
            <w:tcW w:type="dxa" w:w="3437"/>
            <w:shd w:fill="123A78"/>
            <w:tcMar>
              <w:top w:w="125" w:type="dxa"/>
              <w:start w:w="120" w:type="dxa"/>
              <w:bottom w:w="125" w:type="dxa"/>
              <w:end w:w="120" w:type="dxa"/>
            </w:tcMar>
            <w:vAlign w:val="center"/>
          </w:tcPr>
          <w:p>
            <w:pPr>
              <w:jc w:val="center"/>
            </w:pPr>
            <w:r>
              <w:rPr>
                <w:b/>
                <w:color w:val="FFFFFF"/>
                <w:sz w:val="15"/>
              </w:rPr>
              <w:t>PACKAGE 01</w:t>
              <w:br/>
            </w:r>
            <w:r>
              <w:rPr>
                <w:b/>
                <w:color w:val="FFFFFF"/>
                <w:sz w:val="21"/>
              </w:rPr>
              <w:t>SME AI Business Website</w:t>
            </w:r>
          </w:p>
        </w:tc>
        <w:tc>
          <w:tcPr>
            <w:tcW w:type="dxa" w:w="3437"/>
            <w:shd w:fill="D9252A"/>
            <w:tcMar>
              <w:top w:w="125" w:type="dxa"/>
              <w:start w:w="120" w:type="dxa"/>
              <w:bottom w:w="125" w:type="dxa"/>
              <w:end w:w="120" w:type="dxa"/>
            </w:tcMar>
            <w:vAlign w:val="center"/>
          </w:tcPr>
          <w:p>
            <w:pPr>
              <w:jc w:val="center"/>
            </w:pPr>
            <w:r>
              <w:rPr>
                <w:b/>
                <w:color w:val="FFFFFF"/>
                <w:sz w:val="15"/>
              </w:rPr>
              <w:t>PACKAGE 02</w:t>
              <w:br/>
            </w:r>
            <w:r>
              <w:rPr>
                <w:b/>
                <w:color w:val="FFFFFF"/>
                <w:sz w:val="21"/>
              </w:rPr>
              <w:t>SME AI Capability Training</w:t>
            </w:r>
          </w:p>
        </w:tc>
        <w:tc>
          <w:tcPr>
            <w:tcW w:type="dxa" w:w="3437"/>
            <w:shd w:fill="123A78"/>
            <w:tcMar>
              <w:top w:w="125" w:type="dxa"/>
              <w:start w:w="120" w:type="dxa"/>
              <w:bottom w:w="125" w:type="dxa"/>
              <w:end w:w="120" w:type="dxa"/>
            </w:tcMar>
            <w:vAlign w:val="center"/>
          </w:tcPr>
          <w:p>
            <w:pPr>
              <w:jc w:val="center"/>
            </w:pPr>
            <w:r>
              <w:rPr>
                <w:b/>
                <w:color w:val="FFFFFF"/>
                <w:sz w:val="15"/>
              </w:rPr>
              <w:t>PACKAGE 03</w:t>
              <w:br/>
            </w:r>
            <w:r>
              <w:rPr>
                <w:b/>
                <w:color w:val="FFFFFF"/>
                <w:sz w:val="21"/>
              </w:rPr>
              <w:t>PUJB Agentic AI System</w:t>
            </w:r>
          </w:p>
        </w:tc>
      </w:tr>
      <w:tr>
        <w:tc>
          <w:tcPr>
            <w:tcW w:type="dxa" w:w="3437"/>
            <w:shd w:fill="F3F6FA"/>
            <w:tcMar>
              <w:top w:w="130" w:type="dxa"/>
              <w:start w:w="130" w:type="dxa"/>
              <w:bottom w:w="130" w:type="dxa"/>
              <w:end w:w="130" w:type="dxa"/>
            </w:tcMar>
          </w:tcPr>
          <w:p>
            <w:pPr>
              <w:jc w:val="left"/>
            </w:pPr>
            <w:r>
              <w:rPr>
                <w:sz w:val="17"/>
              </w:rPr>
              <w:t>Full AI-ready website, catalogue, lead capture, WhatsApp, analytics, SEO/GEO, AI FAQ and future integration readiness.</w:t>
            </w:r>
          </w:p>
        </w:tc>
        <w:tc>
          <w:tcPr>
            <w:tcW w:type="dxa" w:w="3437"/>
            <w:shd w:fill="F3F6FA"/>
            <w:tcMar>
              <w:top w:w="130" w:type="dxa"/>
              <w:start w:w="130" w:type="dxa"/>
              <w:bottom w:w="130" w:type="dxa"/>
              <w:end w:w="130" w:type="dxa"/>
            </w:tcMar>
          </w:tcPr>
          <w:p>
            <w:pPr>
              <w:jc w:val="left"/>
            </w:pPr>
            <w:r>
              <w:rPr>
                <w:sz w:val="17"/>
              </w:rPr>
              <w:t>Practical AI training focused on real workflows, content, operations, analytics, automation and usable business outputs.</w:t>
            </w:r>
          </w:p>
        </w:tc>
        <w:tc>
          <w:tcPr>
            <w:tcW w:type="dxa" w:w="3437"/>
            <w:shd w:fill="F3F6FA"/>
            <w:tcMar>
              <w:top w:w="130" w:type="dxa"/>
              <w:start w:w="130" w:type="dxa"/>
              <w:bottom w:w="130" w:type="dxa"/>
              <w:end w:w="130" w:type="dxa"/>
            </w:tcMar>
          </w:tcPr>
          <w:p>
            <w:pPr>
              <w:jc w:val="left"/>
            </w:pPr>
            <w:r>
              <w:rPr>
                <w:sz w:val="17"/>
              </w:rPr>
              <w:t>Agentic AI, automation and intelligence layer above PADU for officers, management and SME support, with human-controlled decisions.</w:t>
            </w:r>
          </w:p>
        </w:tc>
      </w:tr>
    </w:tbl>
    <w:p>
      <w:r>
        <w:rPr>
          <w:b/>
          <w:color w:val="123A78"/>
          <w:sz w:val="22"/>
        </w:rPr>
        <w:t>Strategic principle</w:t>
      </w:r>
    </w:p>
    <w:p>
      <w:pPr>
        <w:jc w:val="both"/>
      </w:pPr>
      <w:r>
        <w:t>PADU kekal sebagai platform teras dan system of record PUJB. AINNA NeuralOps dicadangkan sebagai lapisan integrasi, Agentic AI, automation dan analytics yang membantu pengguna, pegawai dan pengurusan. Eligibility, approval, rejection dan keputusan rasmi kekal di bawah kawalan manusia PUJB.</w:t>
      </w:r>
    </w:p>
    <w:tbl>
      <w:tblPr>
        <w:tblW w:type="auto" w:w="0"/>
        <w:jc w:val="center"/>
        <w:tblLook w:firstColumn="1" w:firstRow="1" w:lastColumn="0" w:lastRow="0" w:noHBand="0" w:noVBand="1" w:val="04A0"/>
      </w:tblPr>
      <w:tblGrid>
        <w:gridCol w:w="2062"/>
        <w:gridCol w:w="2062"/>
        <w:gridCol w:w="2062"/>
        <w:gridCol w:w="2062"/>
        <w:gridCol w:w="2062"/>
      </w:tblGrid>
      <w:tr>
        <w:tc>
          <w:tcPr>
            <w:tcW w:type="dxa" w:w="2062"/>
            <w:shd w:fill="123A78"/>
            <w:tcMar>
              <w:top w:w="90" w:type="dxa"/>
              <w:start w:w="90" w:type="dxa"/>
              <w:bottom w:w="90" w:type="dxa"/>
              <w:end w:w="90" w:type="dxa"/>
            </w:tcMar>
          </w:tcPr>
          <w:p>
            <w:pPr>
              <w:jc w:val="center"/>
            </w:pPr>
            <w:r>
              <w:rPr>
                <w:b/>
                <w:color w:val="FFFFFF"/>
                <w:sz w:val="16"/>
              </w:rPr>
              <w:t>TRAIN</w:t>
            </w:r>
          </w:p>
        </w:tc>
        <w:tc>
          <w:tcPr>
            <w:tcW w:type="dxa" w:w="2062"/>
            <w:shd w:fill="D9252A"/>
            <w:tcMar>
              <w:top w:w="90" w:type="dxa"/>
              <w:start w:w="90" w:type="dxa"/>
              <w:bottom w:w="90" w:type="dxa"/>
              <w:end w:w="90" w:type="dxa"/>
            </w:tcMar>
          </w:tcPr>
          <w:p>
            <w:pPr>
              <w:jc w:val="center"/>
            </w:pPr>
            <w:r>
              <w:rPr>
                <w:b/>
                <w:color w:val="FFFFFF"/>
                <w:sz w:val="16"/>
              </w:rPr>
              <w:t>BUILD</w:t>
            </w:r>
          </w:p>
        </w:tc>
        <w:tc>
          <w:tcPr>
            <w:tcW w:type="dxa" w:w="2062"/>
            <w:shd w:fill="123A78"/>
            <w:tcMar>
              <w:top w:w="90" w:type="dxa"/>
              <w:start w:w="90" w:type="dxa"/>
              <w:bottom w:w="90" w:type="dxa"/>
              <w:end w:w="90" w:type="dxa"/>
            </w:tcMar>
          </w:tcPr>
          <w:p>
            <w:pPr>
              <w:jc w:val="center"/>
            </w:pPr>
            <w:r>
              <w:rPr>
                <w:b/>
                <w:color w:val="FFFFFF"/>
                <w:sz w:val="16"/>
              </w:rPr>
              <w:t>OPERATE</w:t>
            </w:r>
          </w:p>
        </w:tc>
        <w:tc>
          <w:tcPr>
            <w:tcW w:type="dxa" w:w="2062"/>
            <w:shd w:fill="D9252A"/>
            <w:tcMar>
              <w:top w:w="90" w:type="dxa"/>
              <w:start w:w="90" w:type="dxa"/>
              <w:bottom w:w="90" w:type="dxa"/>
              <w:end w:w="90" w:type="dxa"/>
            </w:tcMar>
          </w:tcPr>
          <w:p>
            <w:pPr>
              <w:jc w:val="center"/>
            </w:pPr>
            <w:r>
              <w:rPr>
                <w:b/>
                <w:color w:val="FFFFFF"/>
                <w:sz w:val="16"/>
              </w:rPr>
              <w:t>MONITOR</w:t>
            </w:r>
          </w:p>
        </w:tc>
        <w:tc>
          <w:tcPr>
            <w:tcW w:type="dxa" w:w="2062"/>
            <w:shd w:fill="123A78"/>
            <w:tcMar>
              <w:top w:w="90" w:type="dxa"/>
              <w:start w:w="90" w:type="dxa"/>
              <w:bottom w:w="90" w:type="dxa"/>
              <w:end w:w="90" w:type="dxa"/>
            </w:tcMar>
          </w:tcPr>
          <w:p>
            <w:pPr>
              <w:jc w:val="center"/>
            </w:pPr>
            <w:r>
              <w:rPr>
                <w:b/>
                <w:color w:val="FFFFFF"/>
                <w:sz w:val="16"/>
              </w:rPr>
              <w:t>IMPROVE</w:t>
            </w:r>
          </w:p>
        </w:tc>
      </w:tr>
    </w:tbl>
    <w:p>
      <w:r>
        <w:rPr>
          <w:b/>
          <w:color w:val="123A78"/>
          <w:sz w:val="22"/>
        </w:rPr>
        <w:t>Expected value</w:t>
      </w:r>
    </w:p>
    <w:p>
      <w:pPr>
        <w:ind w:left="142" w:hanging="102"/>
      </w:pPr>
      <w:r>
        <w:rPr>
          <w:b/>
          <w:color w:val="D9252A"/>
        </w:rPr>
        <w:t xml:space="preserve">• </w:t>
      </w:r>
      <w:r>
        <w:t>SME: mempunyai digital asset sendiri, AI capability yang praktikal dan workflow yang boleh digunakan terus dalam operasi.</w:t>
      </w:r>
    </w:p>
    <w:p>
      <w:pPr>
        <w:ind w:left="142" w:hanging="102"/>
      </w:pPr>
      <w:r>
        <w:rPr>
          <w:b/>
          <w:color w:val="D9252A"/>
        </w:rPr>
        <w:t xml:space="preserve">• </w:t>
      </w:r>
      <w:r>
        <w:t>PUJB: mendapat visibility yang lebih baik terhadap programme status, entrepreneur profiles, document completeness, follow-up dan outcome.</w:t>
      </w:r>
    </w:p>
    <w:p>
      <w:pPr>
        <w:ind w:left="142" w:hanging="102"/>
      </w:pPr>
      <w:r>
        <w:rPr>
          <w:b/>
          <w:color w:val="D9252A"/>
        </w:rPr>
        <w:t xml:space="preserve">• </w:t>
      </w:r>
      <w:r>
        <w:t>Ecosystem: mewujudkan rantaian yang boleh diukur daripada training → digital adoption → business use → monitoring → impact.</w:t>
      </w:r>
    </w:p>
    <w:p>
      <w:r>
        <w:rPr>
          <w:b/>
          <w:color w:val="123A78"/>
          <w:sz w:val="22"/>
        </w:rPr>
        <w:t>Recommended implementation</w:t>
      </w:r>
    </w:p>
    <w:p>
      <w:pPr>
        <w:jc w:val="both"/>
      </w:pPr>
      <w:r>
        <w:t>Pelaksanaan dicadangkan secara berfasa: Discovery → Pilot → Controlled Integration → UAT → KPI Review → Scale. Fasa awal boleh bermula secara read-only untuk melindungi sistem sedia ada, diikuti integrasi terkawal selepas governance, data access dan workflow diluluskan.</w:t>
      </w:r>
    </w:p>
    <w:tbl>
      <w:tblPr>
        <w:tblW w:type="auto" w:w="0"/>
        <w:jc w:val="center"/>
        <w:tblLook w:firstColumn="1" w:firstRow="1" w:lastColumn="0" w:lastRow="0" w:noHBand="0" w:noVBand="1" w:val="04A0"/>
      </w:tblPr>
      <w:tblGrid>
        <w:gridCol w:w="10312"/>
      </w:tblGrid>
      <w:tr>
        <w:tc>
          <w:tcPr>
            <w:tcW w:type="dxa" w:w="10312"/>
            <w:shd w:fill="EAF0F8"/>
            <w:tcMar>
              <w:top w:w="150" w:type="dxa"/>
              <w:start w:w="170" w:type="dxa"/>
              <w:bottom w:w="150" w:type="dxa"/>
              <w:end w:w="170" w:type="dxa"/>
            </w:tcMar>
          </w:tcPr>
          <w:p>
            <w:pPr>
              <w:jc w:val="center"/>
            </w:pPr>
            <w:r>
              <w:rPr>
                <w:b/>
                <w:color w:val="D9252A"/>
              </w:rPr>
              <w:t xml:space="preserve">Matlamat akhir: </w:t>
            </w:r>
            <w:r>
              <w:rPr>
                <w:b/>
                <w:color w:val="123A78"/>
              </w:rPr>
              <w:t>membantu PUJB bergerak daripada program AI yang bersifat one-off kepada satu AI-powered entrepreneur ecosystem yang membina capability SME dan pada masa sama meningkatkan intelligence, monitoring dan outcome visibility di peringkat agensi.</w:t>
            </w:r>
          </w:p>
        </w:tc>
      </w:tr>
    </w:tbl>
    <w:p>
      <w:pPr>
        <w:jc w:val="right"/>
      </w:pPr>
      <w:r>
        <w:rPr>
          <w:color w:val="667085"/>
          <w:sz w:val="15"/>
        </w:rPr>
        <w:t>Proposed by Ainna Need Enterprise (AINNA)  |  27 September 2026</w:t>
      </w:r>
    </w:p>
    <w:sectPr w:rsidR="00FC693F" w:rsidRPr="0006063C" w:rsidSect="00034616">
      <w:headerReference w:type="default" r:id="rId9"/>
      <w:pgSz w:w="12240" w:h="15840"/>
      <w:pgMar w:top="822" w:right="964" w:bottom="765"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667085"/>
        <w:sz w:val="14"/>
      </w:rPr>
      <w:t>PUJB × AINNA  |  SME AI TRANSFORMATION PROGRAMME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5" w:lineRule="auto"/>
    </w:pPr>
    <w:rPr>
      <w:rFonts w:ascii="Aptos" w:hAnsi="Aptos"/>
      <w:color w:val="122033"/>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